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8855" w14:textId="77777777" w:rsidR="00A51C50" w:rsidRPr="003B45C9" w:rsidRDefault="00A51C50" w:rsidP="00234E97">
      <w:pPr>
        <w:spacing w:line="360" w:lineRule="auto"/>
        <w:jc w:val="center"/>
        <w:rPr>
          <w:b/>
        </w:rPr>
      </w:pPr>
      <w:r w:rsidRPr="003B45C9">
        <w:rPr>
          <w:b/>
        </w:rPr>
        <w:t>PROPOSTA DI LEGGE</w:t>
      </w:r>
    </w:p>
    <w:p w14:paraId="5BF81E56" w14:textId="77777777" w:rsidR="00A51C50" w:rsidRDefault="00A51C50" w:rsidP="00234E97">
      <w:pPr>
        <w:spacing w:line="360" w:lineRule="auto"/>
        <w:jc w:val="center"/>
      </w:pPr>
      <w:r w:rsidRPr="003B45C9">
        <w:t>D</w:t>
      </w:r>
      <w:r>
        <w:t>’</w:t>
      </w:r>
      <w:r w:rsidRPr="003B45C9">
        <w:t xml:space="preserve">iniziativa del Deputato </w:t>
      </w:r>
      <w:r>
        <w:t>Almici</w:t>
      </w:r>
    </w:p>
    <w:p w14:paraId="58B0B404" w14:textId="77777777" w:rsidR="00A51C50" w:rsidRDefault="00A51C50" w:rsidP="00234E97">
      <w:pPr>
        <w:spacing w:line="360" w:lineRule="auto"/>
        <w:jc w:val="center"/>
      </w:pPr>
      <w:r>
        <w:t>“</w:t>
      </w:r>
      <w:r w:rsidRPr="008F4393">
        <w:rPr>
          <w:i/>
          <w:iCs/>
        </w:rPr>
        <w:t>Disposizioni per la Tutela dei Lavoratori dall</w:t>
      </w:r>
      <w:r>
        <w:rPr>
          <w:i/>
          <w:iCs/>
        </w:rPr>
        <w:t>’</w:t>
      </w:r>
      <w:r w:rsidRPr="008F4393">
        <w:rPr>
          <w:i/>
          <w:iCs/>
        </w:rPr>
        <w:t>Esposizione all</w:t>
      </w:r>
      <w:r>
        <w:rPr>
          <w:i/>
          <w:iCs/>
        </w:rPr>
        <w:t>’</w:t>
      </w:r>
      <w:r w:rsidRPr="008F4393">
        <w:rPr>
          <w:i/>
          <w:iCs/>
        </w:rPr>
        <w:t>Amianto e Indicazioni Sull</w:t>
      </w:r>
      <w:r>
        <w:rPr>
          <w:i/>
          <w:iCs/>
        </w:rPr>
        <w:t>’</w:t>
      </w:r>
      <w:r w:rsidRPr="008F4393">
        <w:rPr>
          <w:i/>
          <w:iCs/>
        </w:rPr>
        <w:t>Uso degli Apparecchi di Protezione Individuale delle Vie Respiratorie</w:t>
      </w:r>
      <w:r>
        <w:t>”</w:t>
      </w:r>
    </w:p>
    <w:p w14:paraId="0DF6D114" w14:textId="77777777" w:rsidR="00A51C50" w:rsidRDefault="00A51C50" w:rsidP="00234E97">
      <w:pPr>
        <w:spacing w:line="360" w:lineRule="auto"/>
        <w:jc w:val="both"/>
      </w:pPr>
    </w:p>
    <w:p w14:paraId="50BF94A7" w14:textId="77777777" w:rsidR="00A51C50" w:rsidRDefault="00A51C50" w:rsidP="00234E97">
      <w:pPr>
        <w:spacing w:line="360" w:lineRule="auto"/>
        <w:jc w:val="both"/>
      </w:pPr>
    </w:p>
    <w:p w14:paraId="60B6A0D5" w14:textId="77777777" w:rsidR="00A51C50" w:rsidRDefault="00A51C50" w:rsidP="00234E97">
      <w:pPr>
        <w:spacing w:line="360" w:lineRule="auto"/>
        <w:jc w:val="both"/>
      </w:pPr>
      <w:r>
        <w:t>ONOREVOLI COLLEGHI!</w:t>
      </w:r>
    </w:p>
    <w:p w14:paraId="5945073C" w14:textId="77777777" w:rsidR="00A51C50" w:rsidRDefault="00A51C50" w:rsidP="00234E97">
      <w:pPr>
        <w:spacing w:line="360" w:lineRule="auto"/>
        <w:jc w:val="both"/>
      </w:pPr>
      <w:r>
        <w:t>Come tristemente noto, l’</w:t>
      </w:r>
      <w:r w:rsidRPr="00EB02B5">
        <w:t>amianto, nonostante il suo divieto in Italia dal 1992 (</w:t>
      </w:r>
      <w:r>
        <w:t xml:space="preserve">a partire dalla </w:t>
      </w:r>
      <w:r w:rsidRPr="00EB02B5">
        <w:t>Legge 257/92), continua a rappresentare una grave minaccia per la salute pubblica e, in particolare, per quella dei lavoratori. Le fibre di amianto, se inalate, possono causare patologie gravi e spesso letali, come l</w:t>
      </w:r>
      <w:r>
        <w:t>’</w:t>
      </w:r>
      <w:r w:rsidRPr="00EB02B5">
        <w:t>asbestosi, il mesotelioma pleurico e il carcinoma polmonare, con un lungo periodo di latenza che rende la prevenzione ancora più critica.</w:t>
      </w:r>
    </w:p>
    <w:p w14:paraId="48336C4D" w14:textId="77E3F01E" w:rsidR="00A51C50" w:rsidRDefault="00A51C50" w:rsidP="00234E97">
      <w:pPr>
        <w:spacing w:line="360" w:lineRule="auto"/>
        <w:jc w:val="both"/>
      </w:pPr>
      <w:r w:rsidRPr="00EB02B5">
        <w:t>Sebbene l</w:t>
      </w:r>
      <w:r>
        <w:t>’</w:t>
      </w:r>
      <w:r w:rsidRPr="00EB02B5">
        <w:t xml:space="preserve">Italia vanti una legislazione avanzata in materia di sicurezza sul lavoro, culminata nel Decreto Legislativo 81/2008 (Testo Unico sulla Salute e Sicurezza sul Lavoro), che include </w:t>
      </w:r>
      <w:r w:rsidR="00A90335" w:rsidRPr="00EB02B5">
        <w:t>una sezione</w:t>
      </w:r>
      <w:r w:rsidRPr="00EB02B5">
        <w:t xml:space="preserve"> specific</w:t>
      </w:r>
      <w:r>
        <w:t xml:space="preserve">a </w:t>
      </w:r>
      <w:r w:rsidRPr="00EB02B5">
        <w:t>(Titolo IX, Capo III) dedicato alla protezione dall</w:t>
      </w:r>
      <w:r>
        <w:t>’</w:t>
      </w:r>
      <w:r w:rsidRPr="00EB02B5">
        <w:t>amianto, l</w:t>
      </w:r>
      <w:r>
        <w:t>’</w:t>
      </w:r>
      <w:r w:rsidRPr="00EB02B5">
        <w:t xml:space="preserve">esperienza quotidiana e i dati epidemiologici dimostrano che permangono </w:t>
      </w:r>
      <w:r>
        <w:t xml:space="preserve">diverse </w:t>
      </w:r>
      <w:r w:rsidRPr="00EB02B5">
        <w:t>lacune applicative e aree di miglioramento. In particolare, la gestione dell</w:t>
      </w:r>
      <w:r>
        <w:t>’</w:t>
      </w:r>
      <w:r w:rsidRPr="00EB02B5">
        <w:t>esposizione residua all</w:t>
      </w:r>
      <w:r>
        <w:t>’</w:t>
      </w:r>
      <w:r w:rsidRPr="00EB02B5">
        <w:t>amianto, presente in migliaia di edifici e infrastrutture, richiede un costante aggiornamento delle pratiche e delle normative.</w:t>
      </w:r>
    </w:p>
    <w:p w14:paraId="77CEA833" w14:textId="77777777" w:rsidR="00A51C50" w:rsidRPr="00D9470E" w:rsidRDefault="00A51C50" w:rsidP="00234E97">
      <w:pPr>
        <w:spacing w:line="360" w:lineRule="auto"/>
        <w:jc w:val="both"/>
      </w:pPr>
      <w:r w:rsidRPr="00EB02B5">
        <w:t>I dati più recenti tracciati dall</w:t>
      </w:r>
      <w:r>
        <w:t>’</w:t>
      </w:r>
      <w:r w:rsidRPr="00EB02B5">
        <w:t>ONA (Osservatorio Nazionale Amianto) e dal Registro Nazionale dei Mesoteliomi (ReNaM) restituiscono un quadro epidemiologico drammatico e confermano l</w:t>
      </w:r>
      <w:r>
        <w:t>’</w:t>
      </w:r>
      <w:r w:rsidRPr="00EB02B5">
        <w:t>urgenza di un intervento normativo e operativo rafforzato.</w:t>
      </w:r>
    </w:p>
    <w:p w14:paraId="4E17B1C0" w14:textId="77777777" w:rsidR="00A51C50" w:rsidRPr="00D9470E" w:rsidRDefault="00A51C50" w:rsidP="00234E97">
      <w:pPr>
        <w:spacing w:line="360" w:lineRule="auto"/>
        <w:jc w:val="both"/>
      </w:pPr>
      <w:r w:rsidRPr="00EB02B5">
        <w:t>Il mesotelioma maligno, un tumore raro e aggressivo, è la patologia simbolo</w:t>
      </w:r>
      <w:r w:rsidRPr="00D9470E">
        <w:t>, sebbene non la sola,</w:t>
      </w:r>
      <w:r w:rsidRPr="00EB02B5">
        <w:t xml:space="preserve"> dell</w:t>
      </w:r>
      <w:r>
        <w:t>’</w:t>
      </w:r>
      <w:r w:rsidRPr="00EB02B5">
        <w:t>esposizione all</w:t>
      </w:r>
      <w:r>
        <w:t>’</w:t>
      </w:r>
      <w:r w:rsidRPr="00EB02B5">
        <w:t>amianto. In Italia, si stima che ben il 90% dei casi di mesotelioma maligno sia direttamente riconducibile all</w:t>
      </w:r>
      <w:r>
        <w:t>’</w:t>
      </w:r>
      <w:r w:rsidRPr="00EB02B5">
        <w:t>esposizione a questo minerale. Questo tumore colpisce prevalentemente gli uomini, con un</w:t>
      </w:r>
      <w:r>
        <w:t>’</w:t>
      </w:r>
      <w:r w:rsidRPr="00EB02B5">
        <w:t>incidenza pari allo 0,8% di tutti i tumori diagnosticati nel sesso maschile e allo 0,3% in quello femminile</w:t>
      </w:r>
      <w:r w:rsidRPr="00D9470E">
        <w:t xml:space="preserve">. </w:t>
      </w:r>
    </w:p>
    <w:p w14:paraId="7E0AEB16" w14:textId="77777777" w:rsidR="00A51C50" w:rsidRPr="00D9470E" w:rsidRDefault="00A51C50" w:rsidP="00234E97">
      <w:pPr>
        <w:spacing w:line="360" w:lineRule="auto"/>
        <w:jc w:val="both"/>
      </w:pPr>
      <w:r w:rsidRPr="00EB02B5">
        <w:t>La presenza dell</w:t>
      </w:r>
      <w:r>
        <w:t>’</w:t>
      </w:r>
      <w:r w:rsidRPr="00EB02B5">
        <w:t>amianto sul territorio nazionale è ancora massiccia e capillare. L</w:t>
      </w:r>
      <w:r>
        <w:t>’</w:t>
      </w:r>
      <w:r w:rsidRPr="00EB02B5">
        <w:t>ONA stima che in Italia siano presenti oltre 40 milioni di tonnellate di materiali contenenti amianto, distribuiti in più di un milione di siti e micrositi. Di questi, almeno 50.000 sono di natura industriale e ben 42 sono classificati come Siti di Interesse Nazionale (SIN), aree ad alta complessità e priorità per la bonifica.</w:t>
      </w:r>
    </w:p>
    <w:p w14:paraId="03E9B11E" w14:textId="77777777" w:rsidR="00A51C50" w:rsidRPr="00D9470E" w:rsidRDefault="00A51C50" w:rsidP="00234E97">
      <w:pPr>
        <w:spacing w:line="360" w:lineRule="auto"/>
        <w:jc w:val="both"/>
      </w:pPr>
      <w:r w:rsidRPr="00EB02B5">
        <w:t>Particolarmente allarmante è la diffusione d</w:t>
      </w:r>
      <w:r w:rsidRPr="00D9470E">
        <w:t xml:space="preserve">elle fibre di amianto anche </w:t>
      </w:r>
      <w:r w:rsidRPr="00EB02B5">
        <w:t>in luoghi frequentati quotidianamente da fasce vulnerabili della popolazione e da numerosi lavoratori. I dati</w:t>
      </w:r>
      <w:r w:rsidRPr="00D9470E">
        <w:t>, infatti,</w:t>
      </w:r>
      <w:r w:rsidRPr="00EB02B5">
        <w:t xml:space="preserve"> evidenziano la presenza di amianto in</w:t>
      </w:r>
      <w:r w:rsidRPr="00D9470E">
        <w:t xml:space="preserve"> </w:t>
      </w:r>
      <w:r w:rsidRPr="00EB02B5">
        <w:t>2.500 scuole</w:t>
      </w:r>
      <w:r w:rsidRPr="00D9470E">
        <w:t xml:space="preserve"> (</w:t>
      </w:r>
      <w:r w:rsidRPr="00EB02B5">
        <w:t>con oltre 352.000 studenti e 50.000 tra insegnanti e personale esposto</w:t>
      </w:r>
      <w:r w:rsidRPr="00D9470E">
        <w:t>)</w:t>
      </w:r>
      <w:r w:rsidRPr="00EB02B5">
        <w:t xml:space="preserve"> luoghi </w:t>
      </w:r>
      <w:r w:rsidRPr="00D9470E">
        <w:t xml:space="preserve">che </w:t>
      </w:r>
      <w:r w:rsidRPr="00EB02B5">
        <w:t>dovrebbero essere ambienti sicuri per la crescita e l</w:t>
      </w:r>
      <w:r>
        <w:t>’</w:t>
      </w:r>
      <w:r w:rsidRPr="00EB02B5">
        <w:t xml:space="preserve">apprendimento, </w:t>
      </w:r>
      <w:r w:rsidRPr="00EB02B5">
        <w:lastRenderedPageBreak/>
        <w:t>ma in molti casi rappresentano una potenziale fonte di rischio</w:t>
      </w:r>
      <w:r w:rsidRPr="00D9470E">
        <w:t>; a</w:t>
      </w:r>
      <w:r w:rsidRPr="00EB02B5">
        <w:t>lmeno 500 ospedali, luoghi deputati alla cura e alla salute, dove la presenza di amianto mette a rischio pazienti e personale sanitari</w:t>
      </w:r>
      <w:r w:rsidRPr="00D9470E">
        <w:t xml:space="preserve">o; </w:t>
      </w:r>
      <w:r w:rsidRPr="00EB02B5">
        <w:t>1.500 biblioteche ed altri edifici pubblici, spesso con componenti in amianto integrati nei sistemi elettrici, termici o idraulici, rendendo la bonifica complessa e costosa.</w:t>
      </w:r>
    </w:p>
    <w:p w14:paraId="373C84C5" w14:textId="77777777" w:rsidR="00A51C50" w:rsidRPr="00D9470E" w:rsidRDefault="00A51C50" w:rsidP="00234E97">
      <w:pPr>
        <w:spacing w:line="360" w:lineRule="auto"/>
        <w:jc w:val="both"/>
      </w:pPr>
      <w:r w:rsidRPr="00EB02B5">
        <w:t>A livello regionale, la situazione più grave in termini di vittime dell</w:t>
      </w:r>
      <w:r>
        <w:t>’</w:t>
      </w:r>
      <w:r w:rsidRPr="00EB02B5">
        <w:t>amianto si registra in aree storicamente industrializzate o con un</w:t>
      </w:r>
      <w:r>
        <w:t>’</w:t>
      </w:r>
      <w:r w:rsidRPr="00EB02B5">
        <w:t>elevata presenza di infrastrutture e siti produttivi che facevano largo uso di amianto</w:t>
      </w:r>
      <w:r w:rsidRPr="00D9470E">
        <w:t xml:space="preserve">, in particolare in </w:t>
      </w:r>
      <w:r w:rsidRPr="00EB02B5">
        <w:t>Lombardia</w:t>
      </w:r>
      <w:r w:rsidRPr="00D9470E">
        <w:t xml:space="preserve"> dove, tra il 2022 e il 2024, sono stati segnalati oltre 1800 casi di mesotelioma e di tumori polmonari riferiti a pazienti impiegati in settori con rischio esposizione amianto</w:t>
      </w:r>
      <w:r w:rsidRPr="00EB02B5">
        <w:t>.</w:t>
      </w:r>
    </w:p>
    <w:p w14:paraId="27BE4E3D" w14:textId="77777777" w:rsidR="00A51C50" w:rsidRPr="00D9470E" w:rsidRDefault="00A51C50" w:rsidP="00234E97">
      <w:pPr>
        <w:spacing w:line="360" w:lineRule="auto"/>
        <w:jc w:val="both"/>
      </w:pPr>
      <w:r w:rsidRPr="00EB02B5">
        <w:t>Questi dati non fanno che ribadire l</w:t>
      </w:r>
      <w:r>
        <w:t>’</w:t>
      </w:r>
      <w:r w:rsidRPr="00EB02B5">
        <w:t>urgenza e l</w:t>
      </w:r>
      <w:r>
        <w:t>’</w:t>
      </w:r>
      <w:r w:rsidRPr="00EB02B5">
        <w:t>importanza della presente proposta di legge. La bonifica e la prevenzione dell</w:t>
      </w:r>
      <w:r>
        <w:t>’</w:t>
      </w:r>
      <w:r w:rsidRPr="00EB02B5">
        <w:t>esposizione all</w:t>
      </w:r>
      <w:r>
        <w:t>’</w:t>
      </w:r>
      <w:r w:rsidRPr="00EB02B5">
        <w:t>amianto non sono solo un obbligo legale, ma una priorità etica e sociale per proteggere la salute dei cittadini e dei lavoratori italiani. La persistenza di questo rischio richiede un</w:t>
      </w:r>
      <w:r>
        <w:t>’</w:t>
      </w:r>
      <w:r w:rsidRPr="00EB02B5">
        <w:t>azione coordinata, decisa e supportata da strumenti normativi efficaci, come quelli proposti.</w:t>
      </w:r>
    </w:p>
    <w:p w14:paraId="4ACC3760" w14:textId="77777777" w:rsidR="00A51C50" w:rsidRDefault="00A51C50" w:rsidP="00234E97">
      <w:pPr>
        <w:spacing w:line="360" w:lineRule="auto"/>
        <w:jc w:val="both"/>
      </w:pPr>
      <w:r w:rsidRPr="00EB02B5">
        <w:t>La presente proposta di legge nasce dalla consapevolezza che, nonostante gli sforzi compiuti, la tutela dei lavoratori esposti all</w:t>
      </w:r>
      <w:r>
        <w:t>’</w:t>
      </w:r>
      <w:r w:rsidRPr="00EB02B5">
        <w:t>amianto necessita di un ulteriore rafforzamento, con un</w:t>
      </w:r>
      <w:r>
        <w:t>’</w:t>
      </w:r>
      <w:r w:rsidRPr="00EB02B5">
        <w:t>attenzione specifica e puntuale sull</w:t>
      </w:r>
      <w:r>
        <w:t>’</w:t>
      </w:r>
      <w:r w:rsidRPr="00EB02B5">
        <w:t xml:space="preserve">uso efficace degli Apparecchi di Protezione Individuale delle Vie Respiratorie (APVR), troppo spesso sottovalutato o gestito in modo non ottimale. Prendendo spunto anche da iniziative regionali lodevoli, come le </w:t>
      </w:r>
      <w:r>
        <w:t>“</w:t>
      </w:r>
      <w:r w:rsidRPr="00EB02B5">
        <w:t>Indicazioni sulla scelta degli apparecchi di protezione individuale delle vie respiratorie in presenza di esposizione all</w:t>
      </w:r>
      <w:r>
        <w:t>’</w:t>
      </w:r>
      <w:r w:rsidRPr="00EB02B5">
        <w:t>amianto in ambito lavorativo</w:t>
      </w:r>
      <w:r>
        <w:t>”</w:t>
      </w:r>
      <w:r w:rsidRPr="00EB02B5">
        <w:t xml:space="preserve"> della Regione Lombardia, si intende elevare a livello nazionale un approccio più rigoroso e standardizzato.</w:t>
      </w:r>
    </w:p>
    <w:p w14:paraId="17754714" w14:textId="77777777" w:rsidR="00A51C50" w:rsidRDefault="00A51C50" w:rsidP="00234E97">
      <w:pPr>
        <w:spacing w:line="360" w:lineRule="auto"/>
        <w:jc w:val="both"/>
      </w:pPr>
      <w:r>
        <w:t>Il testo</w:t>
      </w:r>
      <w:r w:rsidRPr="007C7F51">
        <w:t xml:space="preserve"> si compone di sei articoli. </w:t>
      </w:r>
    </w:p>
    <w:p w14:paraId="09347EA5" w14:textId="77777777" w:rsidR="00A51C50" w:rsidRDefault="00A51C50" w:rsidP="00234E97">
      <w:pPr>
        <w:spacing w:line="360" w:lineRule="auto"/>
        <w:jc w:val="both"/>
      </w:pPr>
      <w:r w:rsidRPr="007C7F51">
        <w:t>L</w:t>
      </w:r>
      <w:r>
        <w:t>’</w:t>
      </w:r>
      <w:r w:rsidRPr="007C7F51">
        <w:t>articolo 1 definisce le finalità della normativa, orientata a una più efficace tutela della salute dei lavoratori esposti ad amianto, mediante l</w:t>
      </w:r>
      <w:r>
        <w:t>’</w:t>
      </w:r>
      <w:r w:rsidRPr="007C7F51">
        <w:t>introduzione di criteri obbligatori per la selezione e l</w:t>
      </w:r>
      <w:r>
        <w:t>’</w:t>
      </w:r>
      <w:r w:rsidRPr="007C7F51">
        <w:t xml:space="preserve">uso dei dispositivi di protezione delle vie respiratorie. </w:t>
      </w:r>
    </w:p>
    <w:p w14:paraId="3DEB3225" w14:textId="77777777" w:rsidR="00A51C50" w:rsidRDefault="00A51C50" w:rsidP="00234E97">
      <w:pPr>
        <w:spacing w:line="360" w:lineRule="auto"/>
        <w:jc w:val="both"/>
      </w:pPr>
      <w:r w:rsidRPr="007C7F51">
        <w:t>L</w:t>
      </w:r>
      <w:r>
        <w:t>’</w:t>
      </w:r>
      <w:r w:rsidRPr="007C7F51">
        <w:t>articolo 2 specifica l</w:t>
      </w:r>
      <w:r>
        <w:t>’</w:t>
      </w:r>
      <w:r w:rsidRPr="007C7F51">
        <w:t xml:space="preserve">ambito di applicazione della legge, estendendolo a tutti i contesti lavorativi, pubblici e privati, nei quali </w:t>
      </w:r>
      <w:r>
        <w:t>sussista</w:t>
      </w:r>
      <w:r w:rsidRPr="007C7F51">
        <w:t xml:space="preserve"> una presenza accertata o potenziale di amianto. </w:t>
      </w:r>
    </w:p>
    <w:p w14:paraId="02EF83BF" w14:textId="67816229" w:rsidR="00A51C50" w:rsidRDefault="00A51C50" w:rsidP="00234E97">
      <w:pPr>
        <w:spacing w:line="360" w:lineRule="auto"/>
        <w:jc w:val="both"/>
      </w:pPr>
      <w:r w:rsidRPr="007C7F51">
        <w:t>L</w:t>
      </w:r>
      <w:r>
        <w:t>’</w:t>
      </w:r>
      <w:r w:rsidRPr="007C7F51">
        <w:t xml:space="preserve">articolo 3 introduce una serie di obblighi in capo ai datori di lavoro, rafforzando quanto già previsto dal D.Lgs. 81/2008, in termini di valutazione del rischio, formazione, manutenzione dei </w:t>
      </w:r>
      <w:r w:rsidR="005208E7" w:rsidRPr="005208E7">
        <w:rPr>
          <w:rFonts w:cs="Calibri"/>
          <w:bCs/>
        </w:rPr>
        <w:t>APVR</w:t>
      </w:r>
      <w:r w:rsidR="005208E7" w:rsidRPr="00572EAC">
        <w:rPr>
          <w:rFonts w:cs="Calibri"/>
          <w:bCs/>
        </w:rPr>
        <w:t xml:space="preserve"> </w:t>
      </w:r>
      <w:r w:rsidRPr="007C7F51">
        <w:t xml:space="preserve">e gestione dei registri dei lavoratori esposti. </w:t>
      </w:r>
    </w:p>
    <w:p w14:paraId="399DE2BF" w14:textId="77777777" w:rsidR="00A51C50" w:rsidRDefault="00A51C50" w:rsidP="00234E97">
      <w:pPr>
        <w:spacing w:line="360" w:lineRule="auto"/>
        <w:jc w:val="both"/>
      </w:pPr>
      <w:r w:rsidRPr="007C7F51">
        <w:t>L</w:t>
      </w:r>
      <w:r>
        <w:t>’</w:t>
      </w:r>
      <w:r w:rsidRPr="007C7F51">
        <w:t>articolo 4 affida al Ministero della Salute, di concerto con il Ministero del Lavoro, il compito di redigere Linee Guida tecniche per l</w:t>
      </w:r>
      <w:r>
        <w:t>’</w:t>
      </w:r>
      <w:r w:rsidRPr="007C7F51">
        <w:t>impiego degli APVR, prevedendone l</w:t>
      </w:r>
      <w:r>
        <w:t>’</w:t>
      </w:r>
      <w:r w:rsidRPr="007C7F51">
        <w:t>aggiornamento periodico.</w:t>
      </w:r>
    </w:p>
    <w:p w14:paraId="23FD46D8" w14:textId="77777777" w:rsidR="002722E2" w:rsidRDefault="00A51C50" w:rsidP="00234E97">
      <w:pPr>
        <w:spacing w:line="360" w:lineRule="auto"/>
        <w:jc w:val="both"/>
      </w:pPr>
      <w:r w:rsidRPr="007C7F51">
        <w:t>L</w:t>
      </w:r>
      <w:r>
        <w:t>’</w:t>
      </w:r>
      <w:r w:rsidRPr="007C7F51">
        <w:t xml:space="preserve">articolo 5 disciplina le attività di </w:t>
      </w:r>
      <w:r>
        <w:t>vigilanza</w:t>
      </w:r>
      <w:r w:rsidRPr="007C7F51">
        <w:t xml:space="preserve"> e le sanzioni</w:t>
      </w:r>
      <w:r w:rsidR="002722E2">
        <w:t xml:space="preserve"> applicabili</w:t>
      </w:r>
      <w:r w:rsidRPr="007C7F51">
        <w:t xml:space="preserve"> in caso di inadempienze,</w:t>
      </w:r>
      <w:r w:rsidR="002722E2">
        <w:t xml:space="preserve"> anche in caso di recidiva.</w:t>
      </w:r>
      <w:r w:rsidRPr="007C7F51">
        <w:t xml:space="preserve"> </w:t>
      </w:r>
    </w:p>
    <w:p w14:paraId="7910813E" w14:textId="24C4CA74" w:rsidR="00A51C50" w:rsidRDefault="00267514" w:rsidP="00234E97">
      <w:pPr>
        <w:spacing w:line="360" w:lineRule="auto"/>
        <w:jc w:val="both"/>
      </w:pPr>
      <w:r>
        <w:lastRenderedPageBreak/>
        <w:t>L</w:t>
      </w:r>
      <w:r w:rsidR="00A51C50">
        <w:t>’</w:t>
      </w:r>
      <w:r w:rsidR="00A51C50" w:rsidRPr="007C7F51">
        <w:t xml:space="preserve">articolo 6 </w:t>
      </w:r>
      <w:r w:rsidR="002722E2">
        <w:t>istituisce</w:t>
      </w:r>
      <w:r w:rsidR="00234E97">
        <w:t xml:space="preserve"> un apposito fondo presso l’INAIL</w:t>
      </w:r>
      <w:r w:rsidR="002722E2">
        <w:t>, finanziato con proprie risorse,</w:t>
      </w:r>
      <w:r w:rsidR="00234E97">
        <w:t xml:space="preserve"> per il supporto alle imprese nell’acquisto </w:t>
      </w:r>
      <w:r w:rsidR="00234E97" w:rsidRPr="007C7F51">
        <w:t>degli APVR</w:t>
      </w:r>
      <w:r w:rsidR="00234E97">
        <w:t xml:space="preserve">. </w:t>
      </w:r>
    </w:p>
    <w:p w14:paraId="4F77B926" w14:textId="6CE2E759" w:rsidR="00267514" w:rsidRPr="007C7F51" w:rsidRDefault="00267514" w:rsidP="00234E97">
      <w:pPr>
        <w:spacing w:line="360" w:lineRule="auto"/>
        <w:jc w:val="both"/>
      </w:pPr>
      <w:r>
        <w:t xml:space="preserve">Infine, </w:t>
      </w:r>
      <w:r w:rsidRPr="007C7F51">
        <w:t>l</w:t>
      </w:r>
      <w:r>
        <w:t>’</w:t>
      </w:r>
      <w:r w:rsidRPr="007C7F51">
        <w:t xml:space="preserve">articolo </w:t>
      </w:r>
      <w:r>
        <w:t>7</w:t>
      </w:r>
      <w:r w:rsidRPr="007C7F51">
        <w:t xml:space="preserve"> introduce una clausola di invarianza finanziaria, garantendo che l</w:t>
      </w:r>
      <w:r>
        <w:t>’</w:t>
      </w:r>
      <w:r w:rsidRPr="007C7F51">
        <w:t>attuazione della legge non comporti nuovi o maggiori oneri per la finanza pubblica.</w:t>
      </w:r>
    </w:p>
    <w:p w14:paraId="093B1FC9" w14:textId="77777777" w:rsidR="00A51C50" w:rsidRDefault="00A51C50" w:rsidP="00234E97">
      <w:pPr>
        <w:spacing w:line="360" w:lineRule="auto"/>
      </w:pPr>
    </w:p>
    <w:p w14:paraId="3C3F2A07" w14:textId="77777777" w:rsidR="00A51C50" w:rsidRDefault="00A51C50" w:rsidP="00234E97">
      <w:pPr>
        <w:spacing w:line="360" w:lineRule="auto"/>
      </w:pPr>
    </w:p>
    <w:p w14:paraId="5E3C175F" w14:textId="77777777" w:rsidR="00A51C50" w:rsidRDefault="00A51C50" w:rsidP="00234E97">
      <w:pPr>
        <w:spacing w:line="360" w:lineRule="auto"/>
      </w:pPr>
    </w:p>
    <w:p w14:paraId="425986A1" w14:textId="77777777" w:rsidR="00A51C50" w:rsidRPr="003B45C9" w:rsidRDefault="00A51C50" w:rsidP="00234E97">
      <w:pPr>
        <w:spacing w:line="360" w:lineRule="auto"/>
        <w:contextualSpacing/>
        <w:jc w:val="center"/>
        <w:rPr>
          <w:rFonts w:cs="Calibri"/>
          <w:b/>
        </w:rPr>
      </w:pPr>
      <w:r w:rsidRPr="003B45C9">
        <w:rPr>
          <w:rFonts w:cs="Calibri"/>
          <w:b/>
        </w:rPr>
        <w:t>Art. 1</w:t>
      </w:r>
    </w:p>
    <w:p w14:paraId="7F8EB6A3" w14:textId="77777777" w:rsidR="00A51C50" w:rsidRDefault="00A51C50" w:rsidP="00234E97">
      <w:pPr>
        <w:spacing w:line="360" w:lineRule="auto"/>
        <w:contextualSpacing/>
        <w:jc w:val="center"/>
        <w:rPr>
          <w:rFonts w:cs="Calibri"/>
          <w:bCs/>
        </w:rPr>
      </w:pPr>
      <w:r w:rsidRPr="003B45C9">
        <w:rPr>
          <w:rFonts w:cs="Calibri"/>
          <w:bCs/>
        </w:rPr>
        <w:t>(</w:t>
      </w:r>
      <w:r w:rsidRPr="003B45C9">
        <w:rPr>
          <w:rFonts w:cs="Calibri"/>
          <w:bCs/>
          <w:i/>
          <w:iCs/>
        </w:rPr>
        <w:t>Finalità</w:t>
      </w:r>
      <w:r w:rsidRPr="003B45C9">
        <w:rPr>
          <w:rFonts w:cs="Calibri"/>
          <w:bCs/>
        </w:rPr>
        <w:t>)</w:t>
      </w:r>
    </w:p>
    <w:p w14:paraId="2101777D" w14:textId="77777777" w:rsidR="00A51C50" w:rsidRPr="003A037E" w:rsidRDefault="00A51C50" w:rsidP="00234E97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="Calibri"/>
          <w:bCs/>
        </w:rPr>
      </w:pPr>
      <w:r w:rsidRPr="00AC4AD8">
        <w:t xml:space="preserve">La presente legge </w:t>
      </w:r>
      <w:r>
        <w:t>mira a</w:t>
      </w:r>
      <w:r w:rsidRPr="00AC4AD8">
        <w:t xml:space="preserve"> tutelare in modo più efficace la salute e la sicurezza dei lavoratori che, nell</w:t>
      </w:r>
      <w:r>
        <w:t>’</w:t>
      </w:r>
      <w:r w:rsidRPr="00AC4AD8">
        <w:t>esercizio delle loro attività professionali, possono essere esposti a fibre di amianto, in qualunque forma, livello o contesto operativo</w:t>
      </w:r>
      <w:r>
        <w:t xml:space="preserve">, </w:t>
      </w:r>
      <w:r w:rsidRPr="003A037E">
        <w:rPr>
          <w:rFonts w:cs="Calibri"/>
          <w:bCs/>
        </w:rPr>
        <w:t>in attuazione e in coerenza con le disposizioni contenute nella Direttiva 2009/148/CE, come modificata dalla Direttiva (UE) 2023/26685, e con il Regolamento (UE) 2016/425 sui dispositivi di protezione individuale.</w:t>
      </w:r>
    </w:p>
    <w:p w14:paraId="5051BC05" w14:textId="77777777" w:rsidR="00A51C50" w:rsidRPr="003A037E" w:rsidRDefault="00A51C50" w:rsidP="00234E97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="Calibri"/>
          <w:bCs/>
        </w:rPr>
      </w:pPr>
      <w:r w:rsidRPr="009F6C87">
        <w:rPr>
          <w:rFonts w:cs="Calibri"/>
          <w:bCs/>
        </w:rPr>
        <w:t>Ai fini della protezione dei lavoratori, la presente legge introduce l</w:t>
      </w:r>
      <w:r>
        <w:rPr>
          <w:rFonts w:cs="Calibri"/>
          <w:bCs/>
        </w:rPr>
        <w:t>’</w:t>
      </w:r>
      <w:r w:rsidRPr="009F6C87">
        <w:rPr>
          <w:rFonts w:cs="Calibri"/>
          <w:bCs/>
        </w:rPr>
        <w:t>obbligo di selezionare, impiegare e mantenere in efficienza dispositivi di protezione individuale delle vie respiratorie specificamente adeguati al rischio da esposizione ad amianto</w:t>
      </w:r>
      <w:r>
        <w:rPr>
          <w:rFonts w:cs="Calibri"/>
          <w:bCs/>
        </w:rPr>
        <w:t>, individuati dalle Linee Guida adottate ai sensi dell’articolo 4</w:t>
      </w:r>
      <w:r w:rsidRPr="00AC4AD8">
        <w:t>, rafforzando l</w:t>
      </w:r>
      <w:r>
        <w:t>’</w:t>
      </w:r>
      <w:r w:rsidRPr="00AC4AD8">
        <w:t>apparato preventivo previsto dal Decreto Legislativo 9 aprile 2008, n. 81 (Testo Unico sulla Sicurezza), e recependo le indicazioni scientifiche più aggiornate in materia.</w:t>
      </w:r>
    </w:p>
    <w:p w14:paraId="6AA6DBD6" w14:textId="77777777" w:rsidR="00A51C50" w:rsidRPr="003A037E" w:rsidRDefault="00A51C50" w:rsidP="00234E97">
      <w:pPr>
        <w:spacing w:line="360" w:lineRule="auto"/>
        <w:jc w:val="both"/>
        <w:rPr>
          <w:rFonts w:cs="Calibri"/>
          <w:bCs/>
        </w:rPr>
      </w:pPr>
    </w:p>
    <w:p w14:paraId="1E4CA0A6" w14:textId="77777777" w:rsidR="00A51C50" w:rsidRDefault="00A51C50" w:rsidP="00234E97">
      <w:pPr>
        <w:spacing w:line="360" w:lineRule="auto"/>
      </w:pPr>
    </w:p>
    <w:p w14:paraId="7CBBB61A" w14:textId="77777777" w:rsidR="00A51C50" w:rsidRPr="003B45C9" w:rsidRDefault="00A51C50" w:rsidP="00234E97">
      <w:pPr>
        <w:spacing w:line="360" w:lineRule="auto"/>
        <w:contextualSpacing/>
        <w:jc w:val="center"/>
        <w:rPr>
          <w:rFonts w:cs="Calibri"/>
          <w:b/>
        </w:rPr>
      </w:pPr>
      <w:r w:rsidRPr="003B45C9">
        <w:rPr>
          <w:rFonts w:cs="Calibri"/>
          <w:b/>
        </w:rPr>
        <w:t xml:space="preserve">Art. </w:t>
      </w:r>
      <w:r>
        <w:rPr>
          <w:rFonts w:cs="Calibri"/>
          <w:b/>
        </w:rPr>
        <w:t>2</w:t>
      </w:r>
    </w:p>
    <w:p w14:paraId="4845ED52" w14:textId="77777777" w:rsidR="00A51C50" w:rsidRDefault="00A51C50" w:rsidP="00234E97">
      <w:pPr>
        <w:spacing w:line="360" w:lineRule="auto"/>
        <w:contextualSpacing/>
        <w:jc w:val="center"/>
        <w:rPr>
          <w:rFonts w:cs="Calibri"/>
          <w:bCs/>
        </w:rPr>
      </w:pPr>
      <w:r w:rsidRPr="003B45C9">
        <w:rPr>
          <w:rFonts w:cs="Calibri"/>
          <w:bCs/>
        </w:rPr>
        <w:t>(</w:t>
      </w:r>
      <w:r>
        <w:rPr>
          <w:rFonts w:cs="Calibri"/>
          <w:bCs/>
          <w:i/>
          <w:iCs/>
        </w:rPr>
        <w:t>Ambito di applicazione</w:t>
      </w:r>
      <w:r w:rsidRPr="003B45C9">
        <w:rPr>
          <w:rFonts w:cs="Calibri"/>
          <w:bCs/>
        </w:rPr>
        <w:t>)</w:t>
      </w:r>
    </w:p>
    <w:p w14:paraId="3DAE2F97" w14:textId="77777777" w:rsidR="00A51C50" w:rsidRDefault="00A51C50" w:rsidP="00234E97">
      <w:pPr>
        <w:numPr>
          <w:ilvl w:val="0"/>
          <w:numId w:val="2"/>
        </w:numPr>
        <w:tabs>
          <w:tab w:val="num" w:pos="720"/>
        </w:tabs>
        <w:spacing w:line="360" w:lineRule="auto"/>
        <w:contextualSpacing/>
        <w:jc w:val="both"/>
        <w:rPr>
          <w:rFonts w:cs="Calibri"/>
          <w:bCs/>
        </w:rPr>
      </w:pPr>
      <w:r w:rsidRPr="00AC4AD8">
        <w:rPr>
          <w:rFonts w:cs="Calibri"/>
          <w:bCs/>
        </w:rPr>
        <w:t xml:space="preserve">Le disposizioni della presente legge si applicano a tutti i datori di lavoro, </w:t>
      </w:r>
      <w:r>
        <w:rPr>
          <w:rFonts w:cs="Calibri"/>
          <w:bCs/>
        </w:rPr>
        <w:t xml:space="preserve">di aziende </w:t>
      </w:r>
      <w:r w:rsidRPr="00AC4AD8">
        <w:rPr>
          <w:rFonts w:cs="Calibri"/>
          <w:bCs/>
        </w:rPr>
        <w:t>pubblic</w:t>
      </w:r>
      <w:r>
        <w:rPr>
          <w:rFonts w:cs="Calibri"/>
          <w:bCs/>
        </w:rPr>
        <w:t>he</w:t>
      </w:r>
      <w:r w:rsidRPr="00AC4AD8">
        <w:rPr>
          <w:rFonts w:cs="Calibri"/>
          <w:bCs/>
        </w:rPr>
        <w:t xml:space="preserve"> e privat</w:t>
      </w:r>
      <w:r>
        <w:rPr>
          <w:rFonts w:cs="Calibri"/>
          <w:bCs/>
        </w:rPr>
        <w:t>e</w:t>
      </w:r>
      <w:r w:rsidRPr="00AC4AD8">
        <w:rPr>
          <w:rFonts w:cs="Calibri"/>
          <w:bCs/>
        </w:rPr>
        <w:t xml:space="preserve">, e a tutti i lavoratori, indipendentemente dalla tipologia contrattuale, che operano o possano operare in ambienti con presenza accertata o potenziale di </w:t>
      </w:r>
      <w:r>
        <w:rPr>
          <w:rFonts w:cs="Calibri"/>
          <w:bCs/>
        </w:rPr>
        <w:t xml:space="preserve">fibre di </w:t>
      </w:r>
      <w:r w:rsidRPr="00AC4AD8">
        <w:rPr>
          <w:rFonts w:cs="Calibri"/>
          <w:bCs/>
        </w:rPr>
        <w:t>amianto, inclusi</w:t>
      </w:r>
      <w:r>
        <w:rPr>
          <w:rFonts w:cs="Calibri"/>
          <w:bCs/>
        </w:rPr>
        <w:t>, a titolo esemplificativo</w:t>
      </w:r>
      <w:r w:rsidRPr="00AC4AD8">
        <w:rPr>
          <w:rFonts w:cs="Calibri"/>
          <w:bCs/>
        </w:rPr>
        <w:t xml:space="preserve">: </w:t>
      </w:r>
    </w:p>
    <w:p w14:paraId="5E6494A9" w14:textId="77777777" w:rsidR="00A51C50" w:rsidRDefault="00A51C50" w:rsidP="00234E97">
      <w:pPr>
        <w:pStyle w:val="Paragrafoelenco"/>
        <w:numPr>
          <w:ilvl w:val="1"/>
          <w:numId w:val="2"/>
        </w:num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>l</w:t>
      </w:r>
      <w:r w:rsidRPr="00642B90">
        <w:rPr>
          <w:rFonts w:cs="Calibri"/>
          <w:bCs/>
        </w:rPr>
        <w:t>avorazioni di bonifica, rimozione e smaltimento dell</w:t>
      </w:r>
      <w:r>
        <w:rPr>
          <w:rFonts w:cs="Calibri"/>
          <w:bCs/>
        </w:rPr>
        <w:t>’</w:t>
      </w:r>
      <w:r w:rsidRPr="00642B90">
        <w:rPr>
          <w:rFonts w:cs="Calibri"/>
          <w:bCs/>
        </w:rPr>
        <w:t xml:space="preserve">amianto; </w:t>
      </w:r>
    </w:p>
    <w:p w14:paraId="53A80B4F" w14:textId="77777777" w:rsidR="00A51C50" w:rsidRDefault="00A51C50" w:rsidP="00234E97">
      <w:pPr>
        <w:pStyle w:val="Paragrafoelenco"/>
        <w:numPr>
          <w:ilvl w:val="1"/>
          <w:numId w:val="2"/>
        </w:num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>a</w:t>
      </w:r>
      <w:r w:rsidRPr="00642B90">
        <w:rPr>
          <w:rFonts w:cs="Calibri"/>
          <w:bCs/>
        </w:rPr>
        <w:t xml:space="preserve">ttività di manutenzione, ristrutturazione o demolizione di edifici e impianti contenenti amianto; </w:t>
      </w:r>
    </w:p>
    <w:p w14:paraId="5B260796" w14:textId="77777777" w:rsidR="00D612FA" w:rsidRDefault="00A51C50" w:rsidP="00D612FA">
      <w:pPr>
        <w:pStyle w:val="Paragrafoelenco"/>
        <w:numPr>
          <w:ilvl w:val="1"/>
          <w:numId w:val="2"/>
        </w:num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>a</w:t>
      </w:r>
      <w:r w:rsidRPr="00642B90">
        <w:rPr>
          <w:rFonts w:cs="Calibri"/>
          <w:bCs/>
        </w:rPr>
        <w:t>ttività di campionamento e analisi dell</w:t>
      </w:r>
      <w:r>
        <w:rPr>
          <w:rFonts w:cs="Calibri"/>
          <w:bCs/>
        </w:rPr>
        <w:t>’</w:t>
      </w:r>
      <w:r w:rsidRPr="00642B90">
        <w:rPr>
          <w:rFonts w:cs="Calibri"/>
          <w:bCs/>
        </w:rPr>
        <w:t xml:space="preserve">amianto; </w:t>
      </w:r>
    </w:p>
    <w:p w14:paraId="4D1CD869" w14:textId="00A804EF" w:rsidR="00A51C50" w:rsidRPr="00D612FA" w:rsidRDefault="00A51C50" w:rsidP="00D612FA">
      <w:pPr>
        <w:pStyle w:val="Paragrafoelenco"/>
        <w:numPr>
          <w:ilvl w:val="1"/>
          <w:numId w:val="2"/>
        </w:numPr>
        <w:spacing w:line="360" w:lineRule="auto"/>
        <w:jc w:val="both"/>
        <w:rPr>
          <w:rFonts w:cs="Calibri"/>
          <w:bCs/>
        </w:rPr>
      </w:pPr>
      <w:r w:rsidRPr="00D612FA">
        <w:rPr>
          <w:rFonts w:cs="Calibri"/>
          <w:bCs/>
        </w:rPr>
        <w:lastRenderedPageBreak/>
        <w:t xml:space="preserve">tutte le altre attività </w:t>
      </w:r>
      <w:r w:rsidR="009A511D" w:rsidRPr="00D612FA">
        <w:rPr>
          <w:rFonts w:cs="Calibri"/>
          <w:bCs/>
        </w:rPr>
        <w:t>che comportino un rischio concreto di esposizione a fibre di amianto</w:t>
      </w:r>
      <w:r w:rsidR="00C5372F">
        <w:rPr>
          <w:rFonts w:cs="Calibri"/>
          <w:bCs/>
        </w:rPr>
        <w:t>,</w:t>
      </w:r>
      <w:r w:rsidR="009A511D" w:rsidRPr="00D612FA">
        <w:rPr>
          <w:rFonts w:cs="Calibri"/>
          <w:bCs/>
        </w:rPr>
        <w:t xml:space="preserve"> come </w:t>
      </w:r>
      <w:r w:rsidR="00C5372F">
        <w:rPr>
          <w:rFonts w:cs="Calibri"/>
          <w:bCs/>
        </w:rPr>
        <w:t>definite</w:t>
      </w:r>
      <w:r w:rsidRPr="00D612FA">
        <w:rPr>
          <w:rFonts w:cs="Calibri"/>
          <w:bCs/>
        </w:rPr>
        <w:t xml:space="preserve"> con Decreto d</w:t>
      </w:r>
      <w:r w:rsidR="00161291" w:rsidRPr="00D612FA">
        <w:rPr>
          <w:rFonts w:cs="Calibri"/>
          <w:bCs/>
        </w:rPr>
        <w:t>e</w:t>
      </w:r>
      <w:r w:rsidRPr="00D612FA">
        <w:rPr>
          <w:rFonts w:cs="Calibri"/>
          <w:bCs/>
        </w:rPr>
        <w:t xml:space="preserve">l Ministero della Salute, </w:t>
      </w:r>
      <w:r w:rsidR="00161291" w:rsidRPr="00D612FA">
        <w:rPr>
          <w:rFonts w:cs="Calibri"/>
          <w:bCs/>
        </w:rPr>
        <w:t xml:space="preserve">adottato </w:t>
      </w:r>
      <w:r w:rsidRPr="00D612FA">
        <w:rPr>
          <w:rFonts w:cs="Calibri"/>
          <w:bCs/>
        </w:rPr>
        <w:t>di concerto con il Ministero del Lavoro e delle Politiche Sociali,</w:t>
      </w:r>
      <w:r w:rsidR="009A511D" w:rsidRPr="00D612FA">
        <w:rPr>
          <w:rFonts w:cs="Calibri"/>
          <w:bCs/>
        </w:rPr>
        <w:t xml:space="preserve"> entro 90 giorni</w:t>
      </w:r>
      <w:r w:rsidRPr="00D612FA">
        <w:rPr>
          <w:rFonts w:cs="Calibri"/>
          <w:bCs/>
        </w:rPr>
        <w:t xml:space="preserve"> </w:t>
      </w:r>
      <w:r w:rsidR="009A511D" w:rsidRPr="00D612FA">
        <w:rPr>
          <w:rFonts w:cs="Calibri"/>
          <w:bCs/>
        </w:rPr>
        <w:t>dall’entrata in vigore della presente legge</w:t>
      </w:r>
      <w:r w:rsidRPr="00D612FA">
        <w:rPr>
          <w:rFonts w:cs="Calibri"/>
          <w:bCs/>
        </w:rPr>
        <w:t>.</w:t>
      </w:r>
    </w:p>
    <w:p w14:paraId="56C91ED3" w14:textId="77777777" w:rsidR="00161291" w:rsidRPr="00161291" w:rsidRDefault="00161291" w:rsidP="00161291">
      <w:pPr>
        <w:spacing w:line="360" w:lineRule="auto"/>
        <w:jc w:val="both"/>
        <w:rPr>
          <w:rFonts w:cs="Calibri"/>
          <w:bCs/>
        </w:rPr>
      </w:pPr>
    </w:p>
    <w:p w14:paraId="66A708F6" w14:textId="77777777" w:rsidR="00A51C50" w:rsidRPr="003B45C9" w:rsidRDefault="00A51C50" w:rsidP="00234E97">
      <w:pPr>
        <w:spacing w:line="360" w:lineRule="auto"/>
        <w:contextualSpacing/>
        <w:jc w:val="center"/>
        <w:rPr>
          <w:rFonts w:cs="Calibri"/>
          <w:b/>
        </w:rPr>
      </w:pPr>
      <w:r w:rsidRPr="003B45C9">
        <w:rPr>
          <w:rFonts w:cs="Calibri"/>
          <w:b/>
        </w:rPr>
        <w:t xml:space="preserve">Art. </w:t>
      </w:r>
      <w:r>
        <w:rPr>
          <w:rFonts w:cs="Calibri"/>
          <w:b/>
        </w:rPr>
        <w:t>3</w:t>
      </w:r>
    </w:p>
    <w:p w14:paraId="310FB6E3" w14:textId="77777777" w:rsidR="00A51C50" w:rsidRPr="0053229E" w:rsidRDefault="00A51C50" w:rsidP="00234E97">
      <w:pPr>
        <w:spacing w:line="360" w:lineRule="auto"/>
        <w:contextualSpacing/>
        <w:jc w:val="center"/>
        <w:rPr>
          <w:rFonts w:cs="Calibri"/>
          <w:bCs/>
          <w:i/>
          <w:iCs/>
        </w:rPr>
      </w:pPr>
      <w:r w:rsidRPr="003B45C9">
        <w:rPr>
          <w:rFonts w:cs="Calibri"/>
          <w:bCs/>
        </w:rPr>
        <w:t>(</w:t>
      </w:r>
      <w:r w:rsidRPr="0053229E">
        <w:rPr>
          <w:rFonts w:cs="Calibri"/>
          <w:bCs/>
          <w:i/>
          <w:iCs/>
        </w:rPr>
        <w:t xml:space="preserve">Obblighi del Datore di </w:t>
      </w:r>
      <w:r>
        <w:rPr>
          <w:rFonts w:cs="Calibri"/>
          <w:bCs/>
          <w:i/>
          <w:iCs/>
        </w:rPr>
        <w:t>l</w:t>
      </w:r>
      <w:r w:rsidRPr="0053229E">
        <w:rPr>
          <w:rFonts w:cs="Calibri"/>
          <w:bCs/>
          <w:i/>
          <w:iCs/>
        </w:rPr>
        <w:t>avoro</w:t>
      </w:r>
      <w:r w:rsidRPr="003B45C9">
        <w:rPr>
          <w:rFonts w:cs="Calibri"/>
          <w:bCs/>
        </w:rPr>
        <w:t>)</w:t>
      </w:r>
    </w:p>
    <w:p w14:paraId="42E7DD0F" w14:textId="77777777" w:rsidR="00A51C50" w:rsidRPr="00CA0806" w:rsidRDefault="00A51C50" w:rsidP="00234E97">
      <w:pPr>
        <w:pStyle w:val="Paragrafoelenco"/>
        <w:numPr>
          <w:ilvl w:val="0"/>
          <w:numId w:val="4"/>
        </w:numPr>
        <w:spacing w:line="360" w:lineRule="auto"/>
        <w:jc w:val="both"/>
        <w:rPr>
          <w:rFonts w:cs="Calibri"/>
          <w:bCs/>
        </w:rPr>
      </w:pPr>
      <w:r w:rsidRPr="00CA0806">
        <w:rPr>
          <w:rFonts w:cs="Calibri"/>
          <w:bCs/>
        </w:rPr>
        <w:t>Ferme restando le previsioni del Decreto Legislativo 9 aprile 2008, n. 81, il datore di lavoro ha l</w:t>
      </w:r>
      <w:r>
        <w:rPr>
          <w:rFonts w:cs="Calibri"/>
          <w:bCs/>
        </w:rPr>
        <w:t>’</w:t>
      </w:r>
      <w:r w:rsidRPr="00CA0806">
        <w:rPr>
          <w:rFonts w:cs="Calibri"/>
          <w:bCs/>
        </w:rPr>
        <w:t>obbligo di:</w:t>
      </w:r>
    </w:p>
    <w:p w14:paraId="541863F0" w14:textId="77777777" w:rsidR="00A51C50" w:rsidRPr="00DF3623" w:rsidRDefault="00A51C50" w:rsidP="00234E97">
      <w:pPr>
        <w:pStyle w:val="Paragrafoelenco"/>
        <w:numPr>
          <w:ilvl w:val="0"/>
          <w:numId w:val="3"/>
        </w:num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>e</w:t>
      </w:r>
      <w:r w:rsidRPr="006C68D5">
        <w:rPr>
          <w:rFonts w:cs="Calibri"/>
          <w:bCs/>
        </w:rPr>
        <w:t>ffettuare</w:t>
      </w:r>
      <w:r>
        <w:rPr>
          <w:rFonts w:cs="Calibri"/>
          <w:bCs/>
        </w:rPr>
        <w:t xml:space="preserve">, </w:t>
      </w:r>
      <w:r w:rsidRPr="00DF3623">
        <w:rPr>
          <w:rFonts w:cs="Calibri"/>
        </w:rPr>
        <w:t>prima dell’</w:t>
      </w:r>
      <w:r>
        <w:rPr>
          <w:rFonts w:cs="Calibri"/>
        </w:rPr>
        <w:t>avvio</w:t>
      </w:r>
      <w:r w:rsidRPr="00DF3623">
        <w:rPr>
          <w:rFonts w:cs="Calibri"/>
        </w:rPr>
        <w:t xml:space="preserve"> delle attività</w:t>
      </w:r>
      <w:r>
        <w:rPr>
          <w:rFonts w:cs="Calibri"/>
        </w:rPr>
        <w:t xml:space="preserve"> di bonifica o rimozione,</w:t>
      </w:r>
      <w:r w:rsidRPr="00DF3623">
        <w:rPr>
          <w:rFonts w:cs="Calibri"/>
          <w:bCs/>
        </w:rPr>
        <w:t xml:space="preserve"> una valutazione del rischio amianto approfondita e aggiornata, che includa la mappatura delle aree a rischio e la stima dell’esposizione potenziale;</w:t>
      </w:r>
    </w:p>
    <w:p w14:paraId="46BEBFB6" w14:textId="77777777" w:rsidR="00A51C50" w:rsidRDefault="00A51C50" w:rsidP="00234E97">
      <w:pPr>
        <w:pStyle w:val="Paragrafoelenco"/>
        <w:numPr>
          <w:ilvl w:val="0"/>
          <w:numId w:val="3"/>
        </w:num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>m</w:t>
      </w:r>
      <w:r w:rsidRPr="006C68D5">
        <w:rPr>
          <w:rFonts w:cs="Calibri"/>
          <w:bCs/>
        </w:rPr>
        <w:t>ettere in atto tutte le misure tecniche, organizzative e procedurali necessarie per eliminare o ridurre al minimo l</w:t>
      </w:r>
      <w:r>
        <w:rPr>
          <w:rFonts w:cs="Calibri"/>
          <w:bCs/>
        </w:rPr>
        <w:t>’</w:t>
      </w:r>
      <w:r w:rsidRPr="006C68D5">
        <w:rPr>
          <w:rFonts w:cs="Calibri"/>
          <w:bCs/>
        </w:rPr>
        <w:t>esposizione dei lavoratori</w:t>
      </w:r>
      <w:r>
        <w:rPr>
          <w:rFonts w:cs="Calibri"/>
          <w:bCs/>
        </w:rPr>
        <w:t>;</w:t>
      </w:r>
    </w:p>
    <w:p w14:paraId="1ECD7493" w14:textId="77777777" w:rsidR="00A51C50" w:rsidRPr="003A037E" w:rsidRDefault="00A51C50" w:rsidP="00234E97">
      <w:pPr>
        <w:pStyle w:val="Paragrafoelenco"/>
        <w:numPr>
          <w:ilvl w:val="0"/>
          <w:numId w:val="3"/>
        </w:num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>f</w:t>
      </w:r>
      <w:r w:rsidRPr="003A037E">
        <w:rPr>
          <w:rFonts w:cs="Calibri"/>
          <w:bCs/>
        </w:rPr>
        <w:t xml:space="preserve">ornire </w:t>
      </w:r>
      <w:r>
        <w:rPr>
          <w:rFonts w:cs="Calibri"/>
          <w:bCs/>
        </w:rPr>
        <w:t>dispositivi di protezione individuale</w:t>
      </w:r>
      <w:r w:rsidRPr="003A037E">
        <w:rPr>
          <w:rFonts w:cs="Calibri"/>
          <w:bCs/>
        </w:rPr>
        <w:t xml:space="preserve"> conformi al Regolamento (UE) 2016/425, in particolare apparecchi di protezione delle vie respiratorie, </w:t>
      </w:r>
      <w:r>
        <w:rPr>
          <w:rFonts w:cs="Calibri"/>
          <w:bCs/>
        </w:rPr>
        <w:t>garantendone un’</w:t>
      </w:r>
      <w:r w:rsidRPr="003A037E">
        <w:rPr>
          <w:rFonts w:cs="Calibri"/>
          <w:bCs/>
        </w:rPr>
        <w:t>adeguata manutenzione, controllo e sostituzione;</w:t>
      </w:r>
    </w:p>
    <w:p w14:paraId="4AFDDB82" w14:textId="77777777" w:rsidR="00A51C50" w:rsidRPr="006136DD" w:rsidRDefault="00A51C50" w:rsidP="00234E97">
      <w:pPr>
        <w:pStyle w:val="Paragrafoelenco"/>
        <w:numPr>
          <w:ilvl w:val="0"/>
          <w:numId w:val="3"/>
        </w:num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>f</w:t>
      </w:r>
      <w:r w:rsidRPr="006C68D5">
        <w:rPr>
          <w:rFonts w:cs="Calibri"/>
          <w:bCs/>
        </w:rPr>
        <w:t>ornire</w:t>
      </w:r>
      <w:r>
        <w:rPr>
          <w:rFonts w:cs="Calibri"/>
          <w:bCs/>
        </w:rPr>
        <w:t>, ai sensi</w:t>
      </w:r>
      <w:r w:rsidRPr="006136DD">
        <w:rPr>
          <w:rFonts w:cs="Calibri"/>
          <w:bCs/>
        </w:rPr>
        <w:t xml:space="preserve"> d</w:t>
      </w:r>
      <w:r>
        <w:rPr>
          <w:rFonts w:cs="Calibri"/>
          <w:bCs/>
        </w:rPr>
        <w:t>e</w:t>
      </w:r>
      <w:r w:rsidRPr="006136DD">
        <w:rPr>
          <w:rFonts w:cs="Calibri"/>
          <w:bCs/>
        </w:rPr>
        <w:t>lla Direttiva 2009/148/CE</w:t>
      </w:r>
      <w:r>
        <w:rPr>
          <w:rFonts w:cs="Calibri"/>
          <w:bCs/>
        </w:rPr>
        <w:t xml:space="preserve"> come modificata dalla </w:t>
      </w:r>
      <w:r w:rsidRPr="006136DD">
        <w:rPr>
          <w:rFonts w:cs="Calibri"/>
        </w:rPr>
        <w:t>Direttiva (UE) 2023/2668</w:t>
      </w:r>
      <w:r w:rsidRPr="006136DD">
        <w:rPr>
          <w:rFonts w:cs="Calibri"/>
          <w:bCs/>
        </w:rPr>
        <w:t>, una formazione specifica e periodica a tutti i lavoratori esposti o potenzialmente esposti, con particolare attenzione ai rischi, alle procedure operative e all</w:t>
      </w:r>
      <w:r>
        <w:rPr>
          <w:rFonts w:cs="Calibri"/>
          <w:bCs/>
        </w:rPr>
        <w:t>’</w:t>
      </w:r>
      <w:r w:rsidRPr="006136DD">
        <w:rPr>
          <w:rFonts w:cs="Calibri"/>
          <w:bCs/>
        </w:rPr>
        <w:t>uso corretto dei dispositivi di protezione individuale;</w:t>
      </w:r>
    </w:p>
    <w:p w14:paraId="07DAD53C" w14:textId="77777777" w:rsidR="00A51C50" w:rsidRPr="006C68D5" w:rsidRDefault="00A51C50" w:rsidP="00234E97">
      <w:pPr>
        <w:pStyle w:val="Paragrafoelenco"/>
        <w:numPr>
          <w:ilvl w:val="0"/>
          <w:numId w:val="3"/>
        </w:numPr>
        <w:spacing w:line="360" w:lineRule="auto"/>
        <w:jc w:val="both"/>
        <w:rPr>
          <w:rFonts w:cs="Calibri"/>
          <w:bCs/>
        </w:rPr>
      </w:pPr>
      <w:r w:rsidRPr="006C68D5">
        <w:rPr>
          <w:rFonts w:cs="Calibri"/>
          <w:bCs/>
        </w:rPr>
        <w:t>creare e mantenere aggiornato un registro dei lavoratori esposti all</w:t>
      </w:r>
      <w:r>
        <w:rPr>
          <w:rFonts w:cs="Calibri"/>
          <w:bCs/>
        </w:rPr>
        <w:t>’</w:t>
      </w:r>
      <w:r w:rsidRPr="006C68D5">
        <w:rPr>
          <w:rFonts w:cs="Calibri"/>
          <w:bCs/>
        </w:rPr>
        <w:t>amianto, inviandolo regolarmente agli organi di vigilanza.</w:t>
      </w:r>
    </w:p>
    <w:p w14:paraId="71330B74" w14:textId="77777777" w:rsidR="00A51C50" w:rsidRDefault="00A51C50" w:rsidP="00234E97">
      <w:pPr>
        <w:spacing w:line="360" w:lineRule="auto"/>
        <w:contextualSpacing/>
        <w:jc w:val="both"/>
        <w:rPr>
          <w:rFonts w:cs="Calibri"/>
          <w:bCs/>
        </w:rPr>
      </w:pPr>
    </w:p>
    <w:p w14:paraId="4E4B44DF" w14:textId="77777777" w:rsidR="00A51C50" w:rsidRPr="003B45C9" w:rsidRDefault="00A51C50" w:rsidP="00234E97">
      <w:pPr>
        <w:spacing w:line="360" w:lineRule="auto"/>
        <w:contextualSpacing/>
        <w:jc w:val="center"/>
        <w:rPr>
          <w:rFonts w:cs="Calibri"/>
          <w:b/>
        </w:rPr>
      </w:pPr>
      <w:r w:rsidRPr="003B45C9">
        <w:rPr>
          <w:rFonts w:cs="Calibri"/>
          <w:b/>
        </w:rPr>
        <w:t xml:space="preserve">Art. </w:t>
      </w:r>
      <w:r>
        <w:rPr>
          <w:rFonts w:cs="Calibri"/>
          <w:b/>
        </w:rPr>
        <w:t>4</w:t>
      </w:r>
    </w:p>
    <w:p w14:paraId="389DEFDC" w14:textId="77777777" w:rsidR="00A51C50" w:rsidRPr="00260D67" w:rsidRDefault="00A51C50" w:rsidP="00234E97">
      <w:pPr>
        <w:spacing w:line="360" w:lineRule="auto"/>
        <w:contextualSpacing/>
        <w:jc w:val="center"/>
        <w:rPr>
          <w:rFonts w:cs="Calibri"/>
          <w:i/>
          <w:iCs/>
        </w:rPr>
      </w:pPr>
      <w:r w:rsidRPr="003B45C9">
        <w:rPr>
          <w:rFonts w:cs="Calibri"/>
          <w:bCs/>
        </w:rPr>
        <w:t>(</w:t>
      </w:r>
      <w:r w:rsidRPr="008F4393">
        <w:rPr>
          <w:rFonts w:cs="Calibri"/>
          <w:i/>
          <w:iCs/>
        </w:rPr>
        <w:t xml:space="preserve">Definizione e Aggiornamento delle Linee Guida Nazionali per la Scelta degli </w:t>
      </w:r>
      <w:r w:rsidRPr="00260D67">
        <w:rPr>
          <w:rFonts w:cs="Calibri"/>
          <w:bCs/>
          <w:i/>
          <w:iCs/>
        </w:rPr>
        <w:t>Apparecchi di Protezione delle Vie Respiratorie – APVR</w:t>
      </w:r>
      <w:r w:rsidRPr="003B45C9">
        <w:rPr>
          <w:rFonts w:cs="Calibri"/>
          <w:bCs/>
        </w:rPr>
        <w:t>)</w:t>
      </w:r>
    </w:p>
    <w:p w14:paraId="1E07A463" w14:textId="77777777" w:rsidR="00A51C50" w:rsidRPr="006136DD" w:rsidRDefault="00A51C50" w:rsidP="00234E97">
      <w:pPr>
        <w:pStyle w:val="Paragrafoelenco"/>
        <w:numPr>
          <w:ilvl w:val="0"/>
          <w:numId w:val="6"/>
        </w:numPr>
        <w:spacing w:line="360" w:lineRule="auto"/>
        <w:jc w:val="both"/>
        <w:rPr>
          <w:rFonts w:cs="Calibri"/>
          <w:bCs/>
        </w:rPr>
      </w:pPr>
      <w:r w:rsidRPr="00332E9F">
        <w:rPr>
          <w:rFonts w:cs="Calibri"/>
          <w:bCs/>
        </w:rPr>
        <w:t>Entro 90 giorni dall</w:t>
      </w:r>
      <w:r>
        <w:rPr>
          <w:rFonts w:cs="Calibri"/>
          <w:bCs/>
        </w:rPr>
        <w:t>’</w:t>
      </w:r>
      <w:r w:rsidRPr="00332E9F">
        <w:rPr>
          <w:rFonts w:cs="Calibri"/>
          <w:bCs/>
        </w:rPr>
        <w:t>entrata in vigore della presente legge, il Ministero della Salute, di concerto con il Ministero del Lavoro e delle Politiche Sociali, provvede ad emanare le Linee Guida tecniche</w:t>
      </w:r>
      <w:r>
        <w:rPr>
          <w:rFonts w:cs="Calibri"/>
          <w:bCs/>
        </w:rPr>
        <w:t xml:space="preserve">, basate sulle più recenti evidenze scientifiche disponibili e sulle raccomandazioni di organismi nazionali e internazionali, oltre che </w:t>
      </w:r>
      <w:r w:rsidRPr="006136DD">
        <w:rPr>
          <w:rFonts w:cs="Calibri"/>
          <w:bCs/>
        </w:rPr>
        <w:t>ispirate alle indicazioni delle direttive europee 2009/148/CE, 2023/26685 e al Regolamento (UE) 2016/425, per la scelta, l</w:t>
      </w:r>
      <w:r>
        <w:rPr>
          <w:rFonts w:cs="Calibri"/>
          <w:bCs/>
        </w:rPr>
        <w:t>’</w:t>
      </w:r>
      <w:r w:rsidRPr="006136DD">
        <w:rPr>
          <w:rFonts w:cs="Calibri"/>
          <w:bCs/>
        </w:rPr>
        <w:t xml:space="preserve">utilizzo, la manutenzione e la verifica degli </w:t>
      </w:r>
      <w:r>
        <w:rPr>
          <w:rFonts w:cs="Calibri"/>
          <w:bCs/>
        </w:rPr>
        <w:t>A</w:t>
      </w:r>
      <w:r w:rsidRPr="006136DD">
        <w:rPr>
          <w:rFonts w:cs="Calibri"/>
          <w:bCs/>
        </w:rPr>
        <w:t xml:space="preserve">pparecchi di </w:t>
      </w:r>
      <w:r>
        <w:rPr>
          <w:rFonts w:cs="Calibri"/>
          <w:bCs/>
        </w:rPr>
        <w:t>P</w:t>
      </w:r>
      <w:r w:rsidRPr="006136DD">
        <w:rPr>
          <w:rFonts w:cs="Calibri"/>
          <w:bCs/>
        </w:rPr>
        <w:t xml:space="preserve">rotezione delle </w:t>
      </w:r>
      <w:r>
        <w:rPr>
          <w:rFonts w:cs="Calibri"/>
          <w:bCs/>
        </w:rPr>
        <w:t>V</w:t>
      </w:r>
      <w:r w:rsidRPr="006136DD">
        <w:rPr>
          <w:rFonts w:cs="Calibri"/>
          <w:bCs/>
        </w:rPr>
        <w:t xml:space="preserve">ie </w:t>
      </w:r>
      <w:r>
        <w:rPr>
          <w:rFonts w:cs="Calibri"/>
          <w:bCs/>
        </w:rPr>
        <w:t>Re</w:t>
      </w:r>
      <w:r w:rsidRPr="006136DD">
        <w:rPr>
          <w:rFonts w:cs="Calibri"/>
          <w:bCs/>
        </w:rPr>
        <w:t>spiratorie (APVR) in ambienti lavorativi con presenza, anche solo potenziale, di amianto.</w:t>
      </w:r>
    </w:p>
    <w:p w14:paraId="263A3F29" w14:textId="77777777" w:rsidR="00A51C50" w:rsidRPr="00332E9F" w:rsidRDefault="00A51C50" w:rsidP="00234E97">
      <w:pPr>
        <w:pStyle w:val="Paragrafoelenco"/>
        <w:numPr>
          <w:ilvl w:val="0"/>
          <w:numId w:val="6"/>
        </w:numPr>
        <w:spacing w:line="360" w:lineRule="auto"/>
        <w:jc w:val="both"/>
        <w:rPr>
          <w:rFonts w:cs="Calibri"/>
          <w:bCs/>
        </w:rPr>
      </w:pPr>
      <w:r w:rsidRPr="00332E9F">
        <w:rPr>
          <w:rFonts w:cs="Calibri"/>
          <w:bCs/>
        </w:rPr>
        <w:t xml:space="preserve">Le Linee Guida dovranno prevedere, </w:t>
      </w:r>
      <w:r>
        <w:rPr>
          <w:rFonts w:cs="Calibri"/>
          <w:bCs/>
        </w:rPr>
        <w:t>in particolare</w:t>
      </w:r>
      <w:r w:rsidRPr="00332E9F">
        <w:rPr>
          <w:rFonts w:cs="Calibri"/>
          <w:bCs/>
        </w:rPr>
        <w:t>:</w:t>
      </w:r>
    </w:p>
    <w:p w14:paraId="2395CF87" w14:textId="77777777" w:rsidR="00A51C50" w:rsidRDefault="00A51C50" w:rsidP="00234E97">
      <w:pPr>
        <w:numPr>
          <w:ilvl w:val="0"/>
          <w:numId w:val="5"/>
        </w:numPr>
        <w:tabs>
          <w:tab w:val="num" w:pos="720"/>
        </w:tabs>
        <w:spacing w:line="360" w:lineRule="auto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>la c</w:t>
      </w:r>
      <w:r w:rsidRPr="00743BFF">
        <w:rPr>
          <w:rFonts w:cs="Calibri"/>
          <w:bCs/>
        </w:rPr>
        <w:t>lassificazione de</w:t>
      </w:r>
      <w:r>
        <w:rPr>
          <w:rFonts w:cs="Calibri"/>
          <w:bCs/>
        </w:rPr>
        <w:t>lle diverse tipologie di</w:t>
      </w:r>
      <w:r w:rsidRPr="00743BFF">
        <w:rPr>
          <w:rFonts w:cs="Calibri"/>
          <w:bCs/>
        </w:rPr>
        <w:t xml:space="preserve"> APVR</w:t>
      </w:r>
      <w:r>
        <w:rPr>
          <w:rFonts w:cs="Calibri"/>
          <w:bCs/>
        </w:rPr>
        <w:t xml:space="preserve"> </w:t>
      </w:r>
      <w:r w:rsidRPr="00743BFF">
        <w:rPr>
          <w:rFonts w:cs="Calibri"/>
          <w:bCs/>
        </w:rPr>
        <w:t>e il loro livello di protezione in base all</w:t>
      </w:r>
      <w:r>
        <w:rPr>
          <w:rFonts w:cs="Calibri"/>
          <w:bCs/>
        </w:rPr>
        <w:t>’</w:t>
      </w:r>
      <w:r w:rsidRPr="00743BFF">
        <w:rPr>
          <w:rFonts w:cs="Calibri"/>
          <w:bCs/>
        </w:rPr>
        <w:t>esposizione</w:t>
      </w:r>
      <w:r>
        <w:rPr>
          <w:rFonts w:cs="Calibri"/>
          <w:bCs/>
        </w:rPr>
        <w:t xml:space="preserve">, prevedendo anche i criteri di scelta degli stessi a seconda dei livelli di concentrazione di fibre di amianto, della </w:t>
      </w:r>
      <w:r w:rsidRPr="00743BFF">
        <w:rPr>
          <w:rFonts w:cs="Calibri"/>
          <w:bCs/>
        </w:rPr>
        <w:t>durata dell</w:t>
      </w:r>
      <w:r>
        <w:rPr>
          <w:rFonts w:cs="Calibri"/>
          <w:bCs/>
        </w:rPr>
        <w:t>’</w:t>
      </w:r>
      <w:r w:rsidRPr="00743BFF">
        <w:rPr>
          <w:rFonts w:cs="Calibri"/>
          <w:bCs/>
        </w:rPr>
        <w:t xml:space="preserve">esposizione, </w:t>
      </w:r>
      <w:r>
        <w:rPr>
          <w:rFonts w:cs="Calibri"/>
          <w:bCs/>
        </w:rPr>
        <w:t>de</w:t>
      </w:r>
      <w:r w:rsidRPr="00743BFF">
        <w:rPr>
          <w:rFonts w:cs="Calibri"/>
          <w:bCs/>
        </w:rPr>
        <w:t xml:space="preserve">l tipo di attività e </w:t>
      </w:r>
      <w:r>
        <w:rPr>
          <w:rFonts w:cs="Calibri"/>
          <w:bCs/>
        </w:rPr>
        <w:t>de</w:t>
      </w:r>
      <w:r w:rsidRPr="00743BFF">
        <w:rPr>
          <w:rFonts w:cs="Calibri"/>
          <w:bCs/>
        </w:rPr>
        <w:t>lle caratteristiche individuali del lavoratore</w:t>
      </w:r>
      <w:r>
        <w:rPr>
          <w:rFonts w:cs="Calibri"/>
          <w:bCs/>
        </w:rPr>
        <w:t>;</w:t>
      </w:r>
    </w:p>
    <w:p w14:paraId="45473A65" w14:textId="77777777" w:rsidR="00A51C50" w:rsidRDefault="00A51C50" w:rsidP="00234E97">
      <w:pPr>
        <w:numPr>
          <w:ilvl w:val="0"/>
          <w:numId w:val="5"/>
        </w:numPr>
        <w:tabs>
          <w:tab w:val="num" w:pos="720"/>
        </w:tabs>
        <w:spacing w:line="360" w:lineRule="auto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le procedure e modalità di formazione dei lavoratori per </w:t>
      </w:r>
      <w:r w:rsidRPr="00743BFF">
        <w:rPr>
          <w:rFonts w:cs="Calibri"/>
          <w:bCs/>
        </w:rPr>
        <w:t>l</w:t>
      </w:r>
      <w:r>
        <w:rPr>
          <w:rFonts w:cs="Calibri"/>
          <w:bCs/>
        </w:rPr>
        <w:t>’</w:t>
      </w:r>
      <w:r w:rsidRPr="00743BFF">
        <w:rPr>
          <w:rFonts w:cs="Calibri"/>
          <w:bCs/>
        </w:rPr>
        <w:t>uso corretto degli APVR</w:t>
      </w:r>
      <w:r>
        <w:rPr>
          <w:rFonts w:cs="Calibri"/>
          <w:bCs/>
        </w:rPr>
        <w:t>;</w:t>
      </w:r>
    </w:p>
    <w:p w14:paraId="5898120D" w14:textId="77777777" w:rsidR="00A51C50" w:rsidRPr="007428C6" w:rsidRDefault="00A51C50" w:rsidP="00234E97">
      <w:pPr>
        <w:numPr>
          <w:ilvl w:val="0"/>
          <w:numId w:val="5"/>
        </w:numPr>
        <w:tabs>
          <w:tab w:val="num" w:pos="720"/>
        </w:tabs>
        <w:spacing w:line="360" w:lineRule="auto"/>
        <w:contextualSpacing/>
        <w:jc w:val="both"/>
        <w:rPr>
          <w:rFonts w:cs="Calibri"/>
          <w:bCs/>
        </w:rPr>
      </w:pPr>
      <w:r w:rsidRPr="007428C6">
        <w:rPr>
          <w:rFonts w:cs="Calibri"/>
          <w:bCs/>
        </w:rPr>
        <w:t xml:space="preserve">le modalità </w:t>
      </w:r>
      <w:r w:rsidRPr="00743BFF">
        <w:rPr>
          <w:rFonts w:cs="Calibri"/>
          <w:bCs/>
        </w:rPr>
        <w:t xml:space="preserve">per </w:t>
      </w:r>
      <w:r w:rsidRPr="007428C6">
        <w:rPr>
          <w:rFonts w:cs="Calibri"/>
          <w:bCs/>
        </w:rPr>
        <w:t>il collaudo, la cura e la</w:t>
      </w:r>
      <w:r w:rsidRPr="00743BFF">
        <w:rPr>
          <w:rFonts w:cs="Calibri"/>
          <w:bCs/>
        </w:rPr>
        <w:t xml:space="preserve"> manutenzione</w:t>
      </w:r>
      <w:r w:rsidRPr="007428C6">
        <w:rPr>
          <w:rFonts w:cs="Calibri"/>
          <w:bCs/>
        </w:rPr>
        <w:t xml:space="preserve"> dei dispositivi</w:t>
      </w:r>
      <w:r>
        <w:rPr>
          <w:rFonts w:cs="Calibri"/>
          <w:bCs/>
        </w:rPr>
        <w:t>, compreso anche lo smaltimento e la pulizia degli APVR.</w:t>
      </w:r>
    </w:p>
    <w:p w14:paraId="5CF96300" w14:textId="77777777" w:rsidR="00A51C50" w:rsidRPr="003F6CC7" w:rsidRDefault="00A51C50" w:rsidP="00234E97">
      <w:pPr>
        <w:pStyle w:val="Paragrafoelenco"/>
        <w:numPr>
          <w:ilvl w:val="0"/>
          <w:numId w:val="6"/>
        </w:numPr>
        <w:spacing w:line="360" w:lineRule="auto"/>
        <w:jc w:val="both"/>
        <w:rPr>
          <w:rFonts w:cs="Calibri"/>
          <w:bCs/>
        </w:rPr>
      </w:pPr>
      <w:r w:rsidRPr="003F6CC7">
        <w:rPr>
          <w:rFonts w:cs="Calibri"/>
          <w:bCs/>
        </w:rPr>
        <w:t>Le Linee Guida di cui al comma 1 devono essere aggiornate con </w:t>
      </w:r>
      <w:r w:rsidRPr="003F6CC7">
        <w:rPr>
          <w:rFonts w:cs="Calibri"/>
        </w:rPr>
        <w:t>cadenza almeno triennale</w:t>
      </w:r>
      <w:r w:rsidRPr="003F6CC7">
        <w:rPr>
          <w:rFonts w:cs="Calibri"/>
          <w:bCs/>
        </w:rPr>
        <w:t>.</w:t>
      </w:r>
    </w:p>
    <w:p w14:paraId="6657CE84" w14:textId="77777777" w:rsidR="00A51C50" w:rsidRDefault="00A51C50" w:rsidP="00234E97">
      <w:pPr>
        <w:spacing w:line="360" w:lineRule="auto"/>
        <w:contextualSpacing/>
        <w:jc w:val="both"/>
        <w:rPr>
          <w:rFonts w:cs="Calibri"/>
          <w:bCs/>
        </w:rPr>
      </w:pPr>
    </w:p>
    <w:p w14:paraId="519A7DC9" w14:textId="77777777" w:rsidR="00A51C50" w:rsidRPr="003B45C9" w:rsidRDefault="00A51C50" w:rsidP="00234E97">
      <w:pPr>
        <w:spacing w:line="360" w:lineRule="auto"/>
        <w:contextualSpacing/>
        <w:jc w:val="center"/>
        <w:rPr>
          <w:rFonts w:cs="Calibri"/>
          <w:b/>
        </w:rPr>
      </w:pPr>
      <w:r w:rsidRPr="003B45C9">
        <w:rPr>
          <w:rFonts w:cs="Calibri"/>
          <w:b/>
        </w:rPr>
        <w:t xml:space="preserve">Art. </w:t>
      </w:r>
      <w:r>
        <w:rPr>
          <w:rFonts w:cs="Calibri"/>
          <w:b/>
        </w:rPr>
        <w:t>5</w:t>
      </w:r>
    </w:p>
    <w:p w14:paraId="2ED86E13" w14:textId="77777777" w:rsidR="00A51C50" w:rsidRDefault="00A51C50" w:rsidP="00234E97">
      <w:pPr>
        <w:spacing w:line="360" w:lineRule="auto"/>
        <w:contextualSpacing/>
        <w:jc w:val="center"/>
        <w:rPr>
          <w:rFonts w:cs="Calibri"/>
          <w:bCs/>
        </w:rPr>
      </w:pPr>
      <w:r w:rsidRPr="003B45C9">
        <w:rPr>
          <w:rFonts w:cs="Calibri"/>
          <w:bCs/>
        </w:rPr>
        <w:t>(</w:t>
      </w:r>
      <w:r>
        <w:rPr>
          <w:rFonts w:cs="Calibri"/>
          <w:bCs/>
          <w:i/>
          <w:iCs/>
        </w:rPr>
        <w:t>Vigilanza e sanzioni</w:t>
      </w:r>
      <w:r>
        <w:rPr>
          <w:rFonts w:cs="Calibri"/>
          <w:bCs/>
        </w:rPr>
        <w:t>)</w:t>
      </w:r>
    </w:p>
    <w:p w14:paraId="40039184" w14:textId="77777777" w:rsidR="00A51C50" w:rsidRDefault="00A51C50" w:rsidP="00234E97">
      <w:pPr>
        <w:pStyle w:val="Paragrafoelenco"/>
        <w:numPr>
          <w:ilvl w:val="0"/>
          <w:numId w:val="8"/>
        </w:numPr>
        <w:spacing w:line="360" w:lineRule="auto"/>
        <w:jc w:val="both"/>
        <w:rPr>
          <w:rFonts w:cs="Calibri"/>
          <w:bCs/>
        </w:rPr>
      </w:pPr>
      <w:r w:rsidRPr="00C055CC">
        <w:rPr>
          <w:rFonts w:cs="Calibri"/>
          <w:bCs/>
        </w:rPr>
        <w:t>Il rispetto delle disposizioni è soggetto a vigilanza da parte dell</w:t>
      </w:r>
      <w:r>
        <w:rPr>
          <w:rFonts w:cs="Calibri"/>
          <w:bCs/>
        </w:rPr>
        <w:t>’</w:t>
      </w:r>
      <w:r w:rsidRPr="00C055CC">
        <w:rPr>
          <w:rFonts w:cs="Calibri"/>
          <w:bCs/>
        </w:rPr>
        <w:t>Ispettorato Nazionale del Lavoro e delle ASL territoriali.</w:t>
      </w:r>
    </w:p>
    <w:p w14:paraId="63F23AC9" w14:textId="77777777" w:rsidR="00A51C50" w:rsidRPr="00572EAC" w:rsidRDefault="00A51C50" w:rsidP="00234E97">
      <w:pPr>
        <w:pStyle w:val="Paragrafoelenco"/>
        <w:numPr>
          <w:ilvl w:val="0"/>
          <w:numId w:val="8"/>
        </w:numPr>
        <w:spacing w:line="360" w:lineRule="auto"/>
        <w:jc w:val="both"/>
        <w:rPr>
          <w:rFonts w:cs="Calibri"/>
          <w:bCs/>
        </w:rPr>
      </w:pPr>
      <w:r w:rsidRPr="00572EAC">
        <w:rPr>
          <w:rFonts w:cs="Calibri"/>
          <w:bCs/>
        </w:rPr>
        <w:t>Le violazioni degli obblighi previsti dalla presente legge e dalle Linee Guida di cui all’articolo 4</w:t>
      </w:r>
      <w:r>
        <w:rPr>
          <w:rFonts w:cs="Calibri"/>
          <w:bCs/>
        </w:rPr>
        <w:t xml:space="preserve">, </w:t>
      </w:r>
      <w:r w:rsidRPr="00572EAC">
        <w:rPr>
          <w:rFonts w:cs="Calibri"/>
          <w:bCs/>
        </w:rPr>
        <w:t xml:space="preserve">ferma restando l’applicazione delle eventuali sanzioni penali previste dal D.Lgs. 81/2008, comportano </w:t>
      </w:r>
      <w:r>
        <w:rPr>
          <w:rFonts w:cs="Calibri"/>
          <w:bCs/>
        </w:rPr>
        <w:t>l’applicazione delle</w:t>
      </w:r>
      <w:r w:rsidRPr="00572EAC">
        <w:rPr>
          <w:rFonts w:cs="Calibri"/>
          <w:bCs/>
        </w:rPr>
        <w:t xml:space="preserve"> seguenti sanzioni:</w:t>
      </w:r>
    </w:p>
    <w:p w14:paraId="5EC615F2" w14:textId="154A9A8E" w:rsidR="00A51C50" w:rsidRDefault="00A51C50" w:rsidP="00234E97">
      <w:pPr>
        <w:pStyle w:val="Paragrafoelenco"/>
        <w:numPr>
          <w:ilvl w:val="1"/>
          <w:numId w:val="3"/>
        </w:num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>per il m</w:t>
      </w:r>
      <w:r w:rsidRPr="00572EAC">
        <w:rPr>
          <w:rFonts w:cs="Calibri"/>
          <w:bCs/>
        </w:rPr>
        <w:t xml:space="preserve">ancato aggiornamento o </w:t>
      </w:r>
      <w:r>
        <w:rPr>
          <w:rFonts w:cs="Calibri"/>
          <w:bCs/>
        </w:rPr>
        <w:t>l’</w:t>
      </w:r>
      <w:r w:rsidRPr="00572EAC">
        <w:rPr>
          <w:rFonts w:cs="Calibri"/>
          <w:bCs/>
        </w:rPr>
        <w:t>omessa tenuta del registro dei lavoratori esposti</w:t>
      </w:r>
      <w:r>
        <w:rPr>
          <w:rFonts w:cs="Calibri"/>
          <w:bCs/>
        </w:rPr>
        <w:t xml:space="preserve"> è prevista l’applicazione di una</w:t>
      </w:r>
      <w:r w:rsidRPr="00572EAC">
        <w:rPr>
          <w:rFonts w:cs="Calibri"/>
          <w:bCs/>
        </w:rPr>
        <w:t xml:space="preserve"> sanzione amministrativa pecuniaria da 1.</w:t>
      </w:r>
      <w:r w:rsidR="00E438EF">
        <w:rPr>
          <w:rFonts w:cs="Calibri"/>
          <w:bCs/>
        </w:rPr>
        <w:t>5</w:t>
      </w:r>
      <w:r w:rsidRPr="00572EAC">
        <w:rPr>
          <w:rFonts w:cs="Calibri"/>
          <w:bCs/>
        </w:rPr>
        <w:t xml:space="preserve">00 a </w:t>
      </w:r>
      <w:r w:rsidR="00D612FA">
        <w:rPr>
          <w:rFonts w:cs="Calibri"/>
          <w:bCs/>
        </w:rPr>
        <w:t>3</w:t>
      </w:r>
      <w:r w:rsidRPr="00572EAC">
        <w:rPr>
          <w:rFonts w:cs="Calibri"/>
          <w:bCs/>
        </w:rPr>
        <w:t>.000 euro;</w:t>
      </w:r>
    </w:p>
    <w:p w14:paraId="7044D873" w14:textId="6070276B" w:rsidR="00A51C50" w:rsidRDefault="00A51C50" w:rsidP="00234E97">
      <w:pPr>
        <w:pStyle w:val="Paragrafoelenco"/>
        <w:numPr>
          <w:ilvl w:val="1"/>
          <w:numId w:val="3"/>
        </w:num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>per la m</w:t>
      </w:r>
      <w:r w:rsidRPr="00572EAC">
        <w:rPr>
          <w:rFonts w:cs="Calibri"/>
          <w:bCs/>
        </w:rPr>
        <w:t>ancata o incompleta valutazione del rischio amianto</w:t>
      </w:r>
      <w:r>
        <w:rPr>
          <w:rFonts w:cs="Calibri"/>
          <w:bCs/>
        </w:rPr>
        <w:t xml:space="preserve"> è prevista l’applicazione di una</w:t>
      </w:r>
      <w:r w:rsidRPr="00572EAC">
        <w:rPr>
          <w:rFonts w:cs="Calibri"/>
          <w:bCs/>
        </w:rPr>
        <w:t xml:space="preserve"> sanzione amministrativa pecuniaria da </w:t>
      </w:r>
      <w:r w:rsidR="00D612FA">
        <w:rPr>
          <w:rFonts w:cs="Calibri"/>
          <w:bCs/>
        </w:rPr>
        <w:t>3</w:t>
      </w:r>
      <w:r w:rsidRPr="00572EAC">
        <w:rPr>
          <w:rFonts w:cs="Calibri"/>
          <w:bCs/>
        </w:rPr>
        <w:t xml:space="preserve">.000 a </w:t>
      </w:r>
      <w:r w:rsidR="00D612FA">
        <w:rPr>
          <w:rFonts w:cs="Calibri"/>
          <w:bCs/>
        </w:rPr>
        <w:t>5</w:t>
      </w:r>
      <w:r w:rsidRPr="00572EAC">
        <w:rPr>
          <w:rFonts w:cs="Calibri"/>
          <w:bCs/>
        </w:rPr>
        <w:t>.000 euro, con obbligo di adeguamento entro 30 giorni dalla contestazione;</w:t>
      </w:r>
    </w:p>
    <w:p w14:paraId="1C30B76E" w14:textId="7390F5DE" w:rsidR="00A51C50" w:rsidRDefault="00A51C50" w:rsidP="00234E97">
      <w:pPr>
        <w:pStyle w:val="Paragrafoelenco"/>
        <w:numPr>
          <w:ilvl w:val="1"/>
          <w:numId w:val="3"/>
        </w:num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per la mancata </w:t>
      </w:r>
      <w:r w:rsidRPr="00572EAC">
        <w:rPr>
          <w:rFonts w:cs="Calibri"/>
          <w:bCs/>
        </w:rPr>
        <w:t xml:space="preserve">fornitura o </w:t>
      </w:r>
      <w:r>
        <w:rPr>
          <w:rFonts w:cs="Calibri"/>
          <w:bCs/>
        </w:rPr>
        <w:t xml:space="preserve">il </w:t>
      </w:r>
      <w:r w:rsidRPr="00572EAC">
        <w:rPr>
          <w:rFonts w:cs="Calibri"/>
          <w:bCs/>
        </w:rPr>
        <w:t xml:space="preserve">mancato utilizzo dei </w:t>
      </w:r>
      <w:r w:rsidR="005208E7" w:rsidRPr="005208E7">
        <w:rPr>
          <w:rFonts w:cs="Calibri"/>
          <w:bCs/>
        </w:rPr>
        <w:t>APVR</w:t>
      </w:r>
      <w:r w:rsidR="005208E7" w:rsidRPr="00572EAC">
        <w:rPr>
          <w:rFonts w:cs="Calibri"/>
          <w:bCs/>
        </w:rPr>
        <w:t xml:space="preserve"> </w:t>
      </w:r>
      <w:r w:rsidRPr="00572EAC">
        <w:rPr>
          <w:rFonts w:cs="Calibri"/>
          <w:bCs/>
        </w:rPr>
        <w:t>idonei</w:t>
      </w:r>
      <w:r>
        <w:rPr>
          <w:rFonts w:cs="Calibri"/>
          <w:bCs/>
        </w:rPr>
        <w:t xml:space="preserve"> è prevista l’applicazione di una</w:t>
      </w:r>
      <w:r w:rsidRPr="00572EAC">
        <w:rPr>
          <w:rFonts w:cs="Calibri"/>
          <w:bCs/>
        </w:rPr>
        <w:t xml:space="preserve"> sanzione amministrativa pecuniaria da </w:t>
      </w:r>
      <w:r w:rsidR="00D612FA">
        <w:rPr>
          <w:rFonts w:cs="Calibri"/>
          <w:bCs/>
        </w:rPr>
        <w:t>5</w:t>
      </w:r>
      <w:r w:rsidRPr="00572EAC">
        <w:rPr>
          <w:rFonts w:cs="Calibri"/>
          <w:bCs/>
        </w:rPr>
        <w:t xml:space="preserve">.000 a </w:t>
      </w:r>
      <w:r w:rsidR="00D612FA">
        <w:rPr>
          <w:rFonts w:cs="Calibri"/>
          <w:bCs/>
        </w:rPr>
        <w:t>10</w:t>
      </w:r>
      <w:r w:rsidRPr="00572EAC">
        <w:rPr>
          <w:rFonts w:cs="Calibri"/>
          <w:bCs/>
        </w:rPr>
        <w:t>.000 euro</w:t>
      </w:r>
      <w:r w:rsidR="00E438EF">
        <w:rPr>
          <w:rFonts w:cs="Calibri"/>
          <w:bCs/>
        </w:rPr>
        <w:t xml:space="preserve">, oltre che la sospensione dell’attività fino all’adeguamento </w:t>
      </w:r>
      <w:r w:rsidR="00E438EF" w:rsidRPr="00572EAC">
        <w:rPr>
          <w:rFonts w:cs="Calibri"/>
          <w:bCs/>
        </w:rPr>
        <w:t>delle misure di protezione</w:t>
      </w:r>
      <w:r w:rsidRPr="00572EAC">
        <w:rPr>
          <w:rFonts w:cs="Calibri"/>
          <w:bCs/>
        </w:rPr>
        <w:t>;</w:t>
      </w:r>
    </w:p>
    <w:p w14:paraId="119AAAB9" w14:textId="7E9801C0" w:rsidR="00A51C50" w:rsidRPr="00EA0CE3" w:rsidRDefault="00A51C50" w:rsidP="00234E97">
      <w:pPr>
        <w:pStyle w:val="Paragrafoelenco"/>
        <w:numPr>
          <w:ilvl w:val="0"/>
          <w:numId w:val="8"/>
        </w:numPr>
        <w:spacing w:line="360" w:lineRule="auto"/>
        <w:jc w:val="both"/>
        <w:rPr>
          <w:rFonts w:cs="Calibri"/>
          <w:bCs/>
        </w:rPr>
      </w:pPr>
      <w:r w:rsidRPr="00EA0CE3">
        <w:rPr>
          <w:rFonts w:cs="Calibri"/>
          <w:bCs/>
        </w:rPr>
        <w:t>In caso di </w:t>
      </w:r>
      <w:r w:rsidRPr="00EA0CE3">
        <w:rPr>
          <w:rFonts w:cs="Calibri"/>
        </w:rPr>
        <w:t xml:space="preserve">recidiva </w:t>
      </w:r>
      <w:r w:rsidR="003C0691" w:rsidRPr="00EA0CE3">
        <w:rPr>
          <w:rFonts w:cs="Calibri"/>
        </w:rPr>
        <w:t xml:space="preserve">nella </w:t>
      </w:r>
      <w:r w:rsidR="003C0691">
        <w:rPr>
          <w:rFonts w:cs="Calibri"/>
        </w:rPr>
        <w:t>violazione</w:t>
      </w:r>
      <w:r w:rsidR="00E438EF">
        <w:rPr>
          <w:rFonts w:cs="Calibri"/>
        </w:rPr>
        <w:t xml:space="preserve"> degli obblighi previsti dalla presente legge e dalle Linee Guida</w:t>
      </w:r>
      <w:r w:rsidRPr="00EA0CE3">
        <w:rPr>
          <w:rFonts w:cs="Calibri"/>
          <w:bCs/>
        </w:rPr>
        <w:t xml:space="preserve">, è disposta </w:t>
      </w:r>
      <w:r w:rsidR="00E438EF">
        <w:rPr>
          <w:rFonts w:cs="Calibri"/>
          <w:bCs/>
        </w:rPr>
        <w:t xml:space="preserve">anche </w:t>
      </w:r>
      <w:r w:rsidRPr="00EA0CE3">
        <w:rPr>
          <w:rFonts w:cs="Calibri"/>
          <w:bCs/>
        </w:rPr>
        <w:t xml:space="preserve">l’interdizione, per un periodo da dodici </w:t>
      </w:r>
      <w:r>
        <w:rPr>
          <w:rFonts w:cs="Calibri"/>
          <w:bCs/>
        </w:rPr>
        <w:t xml:space="preserve">a </w:t>
      </w:r>
      <w:r w:rsidR="00E438EF">
        <w:rPr>
          <w:rFonts w:cs="Calibri"/>
          <w:bCs/>
        </w:rPr>
        <w:t>diciotto</w:t>
      </w:r>
      <w:r>
        <w:rPr>
          <w:rFonts w:cs="Calibri"/>
          <w:bCs/>
        </w:rPr>
        <w:t xml:space="preserve"> </w:t>
      </w:r>
      <w:r w:rsidRPr="00EA0CE3">
        <w:rPr>
          <w:rFonts w:cs="Calibri"/>
          <w:bCs/>
        </w:rPr>
        <w:t>mesi, dalla partecipazione a gare d’appalto pubbliche e dall’accesso a contributi o finanziamenti pubblici.</w:t>
      </w:r>
    </w:p>
    <w:p w14:paraId="75943EDD" w14:textId="77777777" w:rsidR="00A51C50" w:rsidRPr="00033E03" w:rsidRDefault="00A51C50" w:rsidP="00234E97">
      <w:pPr>
        <w:spacing w:line="360" w:lineRule="auto"/>
        <w:contextualSpacing/>
        <w:jc w:val="both"/>
        <w:rPr>
          <w:rFonts w:cs="Calibri"/>
          <w:b/>
        </w:rPr>
      </w:pPr>
    </w:p>
    <w:p w14:paraId="533CA550" w14:textId="77777777" w:rsidR="00A51C50" w:rsidRPr="002A3DEB" w:rsidRDefault="00A51C50" w:rsidP="00234E97">
      <w:pPr>
        <w:spacing w:line="360" w:lineRule="auto"/>
        <w:contextualSpacing/>
        <w:jc w:val="center"/>
        <w:rPr>
          <w:rFonts w:cs="Calibri"/>
          <w:bCs/>
        </w:rPr>
      </w:pPr>
      <w:r w:rsidRPr="002A3DEB">
        <w:rPr>
          <w:rFonts w:cs="Calibri"/>
          <w:bCs/>
        </w:rPr>
        <w:t>Art. 6</w:t>
      </w:r>
    </w:p>
    <w:p w14:paraId="589EBFCF" w14:textId="77777777" w:rsidR="00A51C50" w:rsidRPr="002A3DEB" w:rsidRDefault="00A51C50" w:rsidP="00234E97">
      <w:pPr>
        <w:spacing w:line="360" w:lineRule="auto"/>
        <w:contextualSpacing/>
        <w:jc w:val="center"/>
        <w:rPr>
          <w:rFonts w:cs="Calibri"/>
          <w:bCs/>
        </w:rPr>
      </w:pPr>
      <w:r w:rsidRPr="002A3DEB">
        <w:rPr>
          <w:rFonts w:cs="Calibri"/>
          <w:bCs/>
        </w:rPr>
        <w:t>(</w:t>
      </w:r>
      <w:r w:rsidRPr="002A3DEB">
        <w:rPr>
          <w:rFonts w:cs="Calibri"/>
          <w:bCs/>
          <w:i/>
          <w:iCs/>
        </w:rPr>
        <w:t>Sostegno economico alle imprese</w:t>
      </w:r>
      <w:r w:rsidRPr="002A3DEB">
        <w:rPr>
          <w:rFonts w:cs="Calibri"/>
          <w:bCs/>
        </w:rPr>
        <w:t>)</w:t>
      </w:r>
    </w:p>
    <w:p w14:paraId="75BF484A" w14:textId="1D5FCAD6" w:rsidR="00033E03" w:rsidRPr="002A3DEB" w:rsidRDefault="00033E03" w:rsidP="00033E03">
      <w:pPr>
        <w:spacing w:line="360" w:lineRule="auto"/>
        <w:contextualSpacing/>
        <w:jc w:val="both"/>
        <w:rPr>
          <w:rFonts w:cs="Calibri"/>
          <w:bCs/>
        </w:rPr>
      </w:pPr>
      <w:r w:rsidRPr="002A3DEB">
        <w:rPr>
          <w:rFonts w:cs="Calibri"/>
          <w:bCs/>
        </w:rPr>
        <w:t xml:space="preserve">1.    Al fine di garantire misure di sostegno alle imprese per l’acquisto degli apparecchi di protezione delle vie respiratorie destinati alla protezione dall’amianto è istituito presso l’INAIL, un Fondo volto a garantire il riconoscimento ai medesimi soggetti di cui al presente comma, di una indennità, nel limite di spesa di </w:t>
      </w:r>
      <w:r w:rsidR="002A3DEB" w:rsidRPr="002A3DEB">
        <w:rPr>
          <w:rFonts w:cs="Calibri"/>
          <w:bCs/>
        </w:rPr>
        <w:t>10</w:t>
      </w:r>
      <w:r w:rsidRPr="002A3DEB">
        <w:rPr>
          <w:rFonts w:cs="Calibri"/>
          <w:bCs/>
        </w:rPr>
        <w:t xml:space="preserve"> milioni di euro per l'anno 2026</w:t>
      </w:r>
    </w:p>
    <w:p w14:paraId="46452FCD" w14:textId="150CFFB9" w:rsidR="00033E03" w:rsidRPr="002A3DEB" w:rsidRDefault="00033E03" w:rsidP="00033E03">
      <w:pPr>
        <w:spacing w:line="360" w:lineRule="auto"/>
        <w:contextualSpacing/>
        <w:jc w:val="both"/>
        <w:rPr>
          <w:rFonts w:cs="Calibri"/>
          <w:bCs/>
        </w:rPr>
      </w:pPr>
      <w:r w:rsidRPr="002A3DEB">
        <w:rPr>
          <w:rFonts w:cs="Calibri"/>
          <w:bCs/>
        </w:rPr>
        <w:lastRenderedPageBreak/>
        <w:t>2.    Con uno o più decreti del Ministro del Lavoro e delle politiche sociali, di concerto con il Ministro dell'economia e delle finanze, da adottare entro novanta giorni dall'entrata in vigore del presente decreto, sono definiti i criteri di priorità e le modalità di attribuzione dell'indennità di cui al comma 1, nonché la eventuale quota del limite di spesa di cui al comma 1 da destinare al sostegno delle imprese per l’acquisto degli apparecchi di protezione delle vie respiratorie destinati alla protezione dall’amianto.</w:t>
      </w:r>
    </w:p>
    <w:p w14:paraId="0DA3D8D8" w14:textId="4FF04FD4" w:rsidR="00033E03" w:rsidRPr="002A3DEB" w:rsidRDefault="007E07CD" w:rsidP="00033E03">
      <w:pPr>
        <w:spacing w:line="360" w:lineRule="auto"/>
        <w:contextualSpacing/>
        <w:jc w:val="both"/>
        <w:rPr>
          <w:rFonts w:cs="Calibri"/>
          <w:bCs/>
        </w:rPr>
      </w:pPr>
      <w:r w:rsidRPr="002A3DEB">
        <w:rPr>
          <w:rFonts w:cs="Calibri"/>
          <w:bCs/>
        </w:rPr>
        <w:t>3 Agli oneri derivanti dall’attuazione del presente articolo, si provvede mediante corrispondente riduzione del Fondo per interventi strutturali di politica economica di cui all’articolo 10, comma 5, del decreto-legge 29 novembre 2004, n. 282, convertito, con modificazioni, dalla legge 27 dicembre 2004, n. 307”.</w:t>
      </w:r>
    </w:p>
    <w:p w14:paraId="7E895937" w14:textId="77777777" w:rsidR="00033E03" w:rsidRPr="002A3DEB" w:rsidRDefault="00033E03" w:rsidP="00033E03">
      <w:pPr>
        <w:spacing w:line="360" w:lineRule="auto"/>
        <w:contextualSpacing/>
        <w:jc w:val="both"/>
        <w:rPr>
          <w:rFonts w:cs="Calibri"/>
          <w:bCs/>
        </w:rPr>
      </w:pPr>
    </w:p>
    <w:p w14:paraId="3B7FCDFC" w14:textId="77777777" w:rsidR="00EE46C9" w:rsidRPr="00730066" w:rsidRDefault="00EE46C9" w:rsidP="00EE46C9">
      <w:pPr>
        <w:pStyle w:val="Paragrafoelenco"/>
        <w:spacing w:line="360" w:lineRule="auto"/>
        <w:ind w:left="360"/>
        <w:jc w:val="both"/>
        <w:rPr>
          <w:rFonts w:cs="Calibri"/>
          <w:bCs/>
        </w:rPr>
      </w:pPr>
    </w:p>
    <w:p w14:paraId="50A6C536" w14:textId="77777777" w:rsidR="00A51C50" w:rsidRPr="008F4393" w:rsidRDefault="00A51C50" w:rsidP="00234E97">
      <w:pPr>
        <w:spacing w:line="360" w:lineRule="auto"/>
        <w:contextualSpacing/>
        <w:jc w:val="both"/>
        <w:rPr>
          <w:rFonts w:cs="Calibri"/>
          <w:bCs/>
        </w:rPr>
      </w:pPr>
    </w:p>
    <w:p w14:paraId="65273EB6" w14:textId="77777777" w:rsidR="00396168" w:rsidRDefault="00396168" w:rsidP="00234E97">
      <w:pPr>
        <w:spacing w:line="360" w:lineRule="auto"/>
      </w:pPr>
    </w:p>
    <w:sectPr w:rsidR="003961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17F3A"/>
    <w:multiLevelType w:val="hybridMultilevel"/>
    <w:tmpl w:val="4A840BEC"/>
    <w:lvl w:ilvl="0" w:tplc="03260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32BA"/>
    <w:multiLevelType w:val="hybridMultilevel"/>
    <w:tmpl w:val="4BF2F488"/>
    <w:lvl w:ilvl="0" w:tplc="885CC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C4F8C"/>
    <w:multiLevelType w:val="multilevel"/>
    <w:tmpl w:val="617C258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2B731EFB"/>
    <w:multiLevelType w:val="hybridMultilevel"/>
    <w:tmpl w:val="C9A8AF26"/>
    <w:lvl w:ilvl="0" w:tplc="40F2D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06CBA"/>
    <w:multiLevelType w:val="multilevel"/>
    <w:tmpl w:val="D5363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0780D44"/>
    <w:multiLevelType w:val="hybridMultilevel"/>
    <w:tmpl w:val="525AC06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D7EC3"/>
    <w:multiLevelType w:val="hybridMultilevel"/>
    <w:tmpl w:val="F9420CD2"/>
    <w:lvl w:ilvl="0" w:tplc="03260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B12040"/>
    <w:multiLevelType w:val="hybridMultilevel"/>
    <w:tmpl w:val="6980B518"/>
    <w:lvl w:ilvl="0" w:tplc="8A6CB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2B63A1"/>
    <w:multiLevelType w:val="multilevel"/>
    <w:tmpl w:val="EBC447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325253">
    <w:abstractNumId w:val="7"/>
  </w:num>
  <w:num w:numId="2" w16cid:durableId="1476486793">
    <w:abstractNumId w:val="4"/>
  </w:num>
  <w:num w:numId="3" w16cid:durableId="1404140303">
    <w:abstractNumId w:val="2"/>
  </w:num>
  <w:num w:numId="4" w16cid:durableId="961350794">
    <w:abstractNumId w:val="3"/>
  </w:num>
  <w:num w:numId="5" w16cid:durableId="1242252523">
    <w:abstractNumId w:val="8"/>
  </w:num>
  <w:num w:numId="6" w16cid:durableId="572468716">
    <w:abstractNumId w:val="6"/>
  </w:num>
  <w:num w:numId="7" w16cid:durableId="1740709230">
    <w:abstractNumId w:val="0"/>
  </w:num>
  <w:num w:numId="8" w16cid:durableId="726029199">
    <w:abstractNumId w:val="1"/>
  </w:num>
  <w:num w:numId="9" w16cid:durableId="524711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50"/>
    <w:rsid w:val="00033E03"/>
    <w:rsid w:val="00161291"/>
    <w:rsid w:val="001834FC"/>
    <w:rsid w:val="00234E97"/>
    <w:rsid w:val="00267514"/>
    <w:rsid w:val="002722E2"/>
    <w:rsid w:val="002A3DEB"/>
    <w:rsid w:val="002E2CB1"/>
    <w:rsid w:val="00396168"/>
    <w:rsid w:val="003C0691"/>
    <w:rsid w:val="00472CFC"/>
    <w:rsid w:val="004807CD"/>
    <w:rsid w:val="005208E7"/>
    <w:rsid w:val="005A19B8"/>
    <w:rsid w:val="00730066"/>
    <w:rsid w:val="00774831"/>
    <w:rsid w:val="007E07CD"/>
    <w:rsid w:val="009A511D"/>
    <w:rsid w:val="00A51C50"/>
    <w:rsid w:val="00A90335"/>
    <w:rsid w:val="00AA7590"/>
    <w:rsid w:val="00AC20B0"/>
    <w:rsid w:val="00C5372F"/>
    <w:rsid w:val="00D612FA"/>
    <w:rsid w:val="00E438EF"/>
    <w:rsid w:val="00EE46C9"/>
    <w:rsid w:val="00EF37A7"/>
    <w:rsid w:val="00FC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F938"/>
  <w15:chartTrackingRefBased/>
  <w15:docId w15:val="{BBD1D8B5-5F09-A04B-97E6-57C50D12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29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1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Costella</dc:creator>
  <cp:keywords/>
  <dc:description/>
  <cp:lastModifiedBy>Cdd</cp:lastModifiedBy>
  <cp:revision>3</cp:revision>
  <dcterms:created xsi:type="dcterms:W3CDTF">2025-10-02T10:09:00Z</dcterms:created>
  <dcterms:modified xsi:type="dcterms:W3CDTF">2025-10-02T10:09:00Z</dcterms:modified>
</cp:coreProperties>
</file>